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Figure1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797050"/>
            <wp:effectExtent l="0" t="0" r="13335" b="6350"/>
            <wp:docPr id="1" name="图片 1" descr="截屏2026-02-24 上午12.13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2-24 上午12.13.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Figure 1 presents an overview of data quality. The left panel shows the distribution of the target variable, contest-tmp2m-14d (temperature in°C), with mean 11.9°C and median 12.3°C. The distribution appears approximately symmetric and close to normal, though the slightly lower mean relative to the median indicates a mild left skew. Most values cluster between 5°C and 20°C, suggesting a typical temperature range for the forecast period. The right panel lists the top 20 columns with the highest missingness rates. Notably, all 20 columns exhibit 100% missing values, meaning they contain no valid data at all. These columns belong predominantly to the CCSM3 model family (e.g., nrmme0-tmp2m-34w_ccsm30, nrmme0-prate-56w_ccsm30), indicating a systematic issue with that particular model output. Other high‑missing columns also follow a similar naming pattern, suggesting that a whole subset of features is entirely absent.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Key findings: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The target variable is near‑normally distributed (mean ≈ 11.9°C, median ≈ 12.3°C) with a slight negative skew.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All top‑20 missing columns have 100% missing data, concentrated in CCSM3‑based features.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These completely empty columns must be dropped or imputed; their absence likely stems from model‑specific data generation failures.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9DD0E92"/>
    <w:rsid w:val="7776D4C7"/>
    <w:rsid w:val="E9DD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2026-02-24T08:13:00Z</dcterms:created>
  <dc:creator>PTT</dc:creator>
  <cp:lastModifiedBy>预防针</cp:lastModifiedBy>
  <dcterms:modified xsi:type="dcterms:W3CDTF">2026-02-24T00:53:42Z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A099034910DBF4B116869C691AE7C845_43</vt:lpwstr>
  </property>
</Properties>
</file>