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rPr>
        <w:t>**Part 1 — Introduction &amp; Dataset Overview**</w:t>
      </w:r>
    </w:p>
    <w:p>
      <w:r>
        <w:t>The core task of the WiDS Datathon 2023 is to predict the 2-meter temperature over the next 14 days (sub-seasonal timescale) at various locations across the United States. The target variable, contest-tmp2m-14d__tmp2m, is defined as the arithmetic mean of the observed daily maximum and minimum temperatures during the 14-day period following each start date, i.e., (tmax + tmin) / 2. Participants are provided with a rich set of features including historical meteorological observations, ensemble forecasts from multiple North American Multi-Model Ensemble (NMME) models, large-scale climate indices, atmospheric circulation fields, and static geographic information. The challenge lies in capturing both short-term weather signals and longer-term climate variability to produce accurate sub-seasonal temperature forecasts for anonymized locations and start dates.</w:t>
      </w:r>
    </w:p>
    <w:p>
      <w:r>
        <w:t>The training dataset (train_data.csv) contains 375,734 rows and 246 columns (including the target variable), covering the period from September 2014 to August 2016. Each row represents one location (with anonymized latitude and longitude) and one start date of a 14-day forecast window. The test set follows the same structure, but the true target values are withheld for evaluation.</w:t>
      </w:r>
    </w:p>
    <w:p>
      <w:pPr>
        <w:rPr>
          <w:rFonts w:hint="eastAsia"/>
        </w:rPr>
      </w:pPr>
      <w:r>
        <w:t>The following table provides a high-level categorization of the features: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c>
          <w:tcPr>
            <w:tcW w:w="2765"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Category</w:t>
            </w:r>
          </w:p>
        </w:tc>
        <w:tc>
          <w:tcPr>
            <w:tcW w:w="2765"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Number of Features</w:t>
            </w:r>
          </w:p>
        </w:tc>
        <w:tc>
          <w:tcPr>
            <w:tcW w:w="2766"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Brief Description</w:t>
            </w:r>
          </w:p>
        </w:tc>
      </w:tr>
      <w:tr>
        <w:tc>
          <w:tcPr>
            <w:tcW w:w="2765" w:type="dxa"/>
          </w:tcPr>
          <w:p>
            <w:pPr>
              <w:spacing w:after="0" w:line="240" w:lineRule="auto"/>
              <w:rPr>
                <w:rFonts w:hint="eastAsia"/>
              </w:rPr>
            </w:pPr>
            <w:r>
              <w:t>NMME Temperature Forecasts</w:t>
            </w:r>
          </w:p>
        </w:tc>
        <w:tc>
          <w:tcPr>
            <w:tcW w:w="2765" w:type="dxa"/>
          </w:tcPr>
          <w:p>
            <w:pPr>
              <w:spacing w:after="0" w:line="240" w:lineRule="auto"/>
              <w:rPr>
                <w:rFonts w:hint="eastAsia"/>
              </w:rPr>
            </w:pPr>
            <w:r>
              <w:rPr>
                <w:rFonts w:hint="eastAsia"/>
              </w:rPr>
              <w:t>40</w:t>
            </w:r>
          </w:p>
        </w:tc>
        <w:tc>
          <w:tcPr>
            <w:tcW w:w="2766"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Latest monthly forecasts and weighted averages (weeks 3-4 and 5-6) of 2m temperature from individual NMME models (cancm3/4/30/40, ccsm3/4/30/40, cfsv2/0, gfdl*/flora*/florb*, nasa/0, etc.) plus ensemble means (nmme0mean, nmmemean)</w:t>
            </w:r>
          </w:p>
        </w:tc>
      </w:tr>
      <w:tr>
        <w:tc>
          <w:tcPr>
            <w:tcW w:w="2765" w:type="dxa"/>
          </w:tcPr>
          <w:p>
            <w:pPr>
              <w:spacing w:after="0" w:line="240" w:lineRule="auto"/>
              <w:rPr>
                <w:rFonts w:hint="eastAsia"/>
              </w:rPr>
            </w:pPr>
            <w:r>
              <w:t>NMME Precipitation Forecasts</w:t>
            </w:r>
          </w:p>
        </w:tc>
        <w:tc>
          <w:tcPr>
            <w:tcW w:w="2765" w:type="dxa"/>
          </w:tcPr>
          <w:p>
            <w:pPr>
              <w:spacing w:after="0" w:line="240" w:lineRule="auto"/>
              <w:rPr>
                <w:rFonts w:hint="eastAsia"/>
              </w:rPr>
            </w:pPr>
            <w:r>
              <w:rPr>
                <w:rFonts w:hint="eastAsia"/>
              </w:rPr>
              <w:t>40</w:t>
            </w:r>
          </w:p>
        </w:tc>
        <w:tc>
          <w:tcPr>
            <w:tcW w:w="2766"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Weighted average precipitation rate forecasts for weeks 3? and 5?, plus latest monthly versions, from NMME models (nmme-prate-34w/56w, nmme0-prate-*, etc.)</w:t>
            </w:r>
          </w:p>
        </w:tc>
      </w:tr>
      <w:tr>
        <w:tc>
          <w:tcPr>
            <w:tcW w:w="2765"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contest Meteorological Variables (14-day windows)</w:t>
            </w:r>
          </w:p>
        </w:tc>
        <w:tc>
          <w:tcPr>
            <w:tcW w:w="2765" w:type="dxa"/>
          </w:tcPr>
          <w:p>
            <w:pPr>
              <w:spacing w:after="0" w:line="240" w:lineRule="auto"/>
              <w:rPr>
                <w:rFonts w:hint="eastAsia"/>
              </w:rPr>
            </w:pPr>
            <w:r>
              <w:rPr>
                <w:rFonts w:hint="eastAsia"/>
              </w:rPr>
              <w:t>15</w:t>
            </w:r>
          </w:p>
        </w:tc>
        <w:tc>
          <w:tcPr>
            <w:tcW w:w="2766"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14-day aggregates/averages of sea level pressure, geopotential height (10/100/500/850 hPa), zonal/meridional winds (925/250 hPa), near-surface relative humidity, total precipitable water, potential evaporation, observed precipitation, etc.</w:t>
            </w:r>
          </w:p>
        </w:tc>
      </w:tr>
      <w:tr>
        <w:tc>
          <w:tcPr>
            <w:tcW w:w="2765"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SST &amp; Sea Ice</w:t>
            </w:r>
          </w:p>
        </w:tc>
        <w:tc>
          <w:tcPr>
            <w:tcW w:w="2765" w:type="dxa"/>
          </w:tcPr>
          <w:p>
            <w:pPr>
              <w:spacing w:after="0" w:line="240" w:lineRule="auto"/>
              <w:rPr>
                <w:rFonts w:hint="eastAsia"/>
              </w:rPr>
            </w:pPr>
            <w:r>
              <w:rPr>
                <w:rFonts w:hint="eastAsia"/>
              </w:rPr>
              <w:t>20</w:t>
            </w:r>
          </w:p>
        </w:tc>
        <w:tc>
          <w:tcPr>
            <w:tcW w:w="2766"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Principal component analysis (PCA) components of sea surface temperature (sst-2010-1 to 10) and sea ice concentration (icec-2010-1 to 10) from NOAA OISST high-resolution dataset</w:t>
            </w:r>
          </w:p>
        </w:tc>
      </w:tr>
      <w:tr>
        <w:tc>
          <w:tcPr>
            <w:tcW w:w="2765"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Climate Indices</w:t>
            </w:r>
          </w:p>
        </w:tc>
        <w:tc>
          <w:tcPr>
            <w:tcW w:w="2765" w:type="dxa"/>
          </w:tcPr>
          <w:p>
            <w:pPr>
              <w:spacing w:after="0" w:line="240" w:lineRule="auto"/>
              <w:rPr>
                <w:rFonts w:hint="eastAsia"/>
              </w:rPr>
            </w:pPr>
            <w:r>
              <w:rPr>
                <w:rFonts w:hint="eastAsia"/>
              </w:rPr>
              <w:t>5</w:t>
            </w:r>
          </w:p>
        </w:tc>
        <w:tc>
          <w:tcPr>
            <w:tcW w:w="2766"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Madden-Julian Oscillation (MJO phase and amplitude), Multivariate ENSO Index (MEI, rank,  phase)</w:t>
            </w:r>
          </w:p>
        </w:tc>
      </w:tr>
      <w:tr>
        <w:tc>
          <w:tcPr>
            <w:tcW w:w="2765"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2010 Baseline Wind Field PCA</w:t>
            </w:r>
          </w:p>
        </w:tc>
        <w:tc>
          <w:tcPr>
            <w:tcW w:w="2765" w:type="dxa"/>
          </w:tcPr>
          <w:p>
            <w:pPr>
              <w:spacing w:after="0" w:line="240" w:lineRule="auto"/>
              <w:rPr>
                <w:rFonts w:hint="eastAsia"/>
              </w:rPr>
            </w:pPr>
            <w:r>
              <w:rPr>
                <w:rFonts w:hint="eastAsia"/>
              </w:rPr>
              <w:t>120</w:t>
            </w:r>
          </w:p>
        </w:tc>
        <w:tc>
          <w:tcPr>
            <w:tcW w:w="2766"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PCA components of various wind and geopotential height fields from 2010 baseline (e.g., wind-vwnd-250-2010-1 to 20, wind-hgt-850-2010-1 to 10, etc.)</w:t>
            </w:r>
          </w:p>
        </w:tc>
      </w:tr>
      <w:tr>
        <w:tc>
          <w:tcPr>
            <w:tcW w:w="2765"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Geographic &amp; Static Features</w:t>
            </w:r>
          </w:p>
        </w:tc>
        <w:tc>
          <w:tcPr>
            <w:tcW w:w="2765" w:type="dxa"/>
          </w:tcPr>
          <w:p>
            <w:pPr>
              <w:spacing w:after="0" w:line="240" w:lineRule="auto"/>
              <w:rPr>
                <w:rFonts w:hint="eastAsia"/>
              </w:rPr>
            </w:pPr>
            <w:r>
              <w:rPr>
                <w:rFonts w:hint="eastAsia"/>
              </w:rPr>
              <w:t>4</w:t>
            </w:r>
          </w:p>
        </w:tc>
        <w:tc>
          <w:tcPr>
            <w:tcW w:w="2766"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Latitude (lat), longitude (lon), elevation, pen-Geiger climate classification</w:t>
            </w:r>
          </w:p>
        </w:tc>
      </w:tr>
      <w:tr>
        <w:tc>
          <w:tcPr>
            <w:tcW w:w="2765"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Others</w:t>
            </w:r>
          </w:p>
        </w:tc>
        <w:tc>
          <w:tcPr>
            <w:tcW w:w="2765" w:type="dxa"/>
          </w:tcPr>
          <w:p>
            <w:pPr>
              <w:spacing w:after="0" w:line="240" w:lineRule="auto"/>
              <w:rPr>
                <w:rFonts w:hint="eastAsia"/>
              </w:rPr>
            </w:pPr>
            <w:r>
              <w:rPr>
                <w:rFonts w:hint="eastAsia"/>
              </w:rPr>
              <w:t>1</w:t>
            </w:r>
          </w:p>
        </w:tc>
        <w:tc>
          <w:tcPr>
            <w:tcW w:w="2766" w:type="dxa"/>
          </w:tcPr>
          <w:p>
            <w:pPr>
              <w:widowControl/>
              <w:spacing w:after="0" w:line="240" w:lineRule="auto"/>
              <w:rPr>
                <w:rFonts w:hint="eastAsia" w:ascii="等线" w:hAnsi="等线" w:eastAsia="等线"/>
                <w:color w:val="000000"/>
                <w:szCs w:val="22"/>
              </w:rPr>
            </w:pPr>
            <w:r>
              <w:rPr>
                <w:rFonts w:hint="eastAsia" w:ascii="等线" w:hAnsi="等线" w:eastAsia="等线"/>
                <w:color w:val="000000"/>
                <w:szCs w:val="22"/>
              </w:rPr>
              <w:t>Start date (startdate) for deriving seasonal and temporal patterns</w:t>
            </w:r>
          </w:p>
        </w:tc>
      </w:tr>
    </w:tbl>
    <w:p>
      <w:pPr>
        <w:rPr>
          <w:rFonts w:hint="eastAsia"/>
        </w:rPr>
      </w:pPr>
    </w:p>
    <w:p>
      <w:pPr>
        <w:rPr>
          <w:rFonts w:hint="eastAsia"/>
        </w:rPr>
      </w:pPr>
      <w:r>
        <w:t>The main objectives of this EDA are to systematically assess data quality and completeness, uncover temporal patterns and seasonality in the target variable, identify the most informative predictive features for sub-seasonal temperature forecasting, and provide evidence-based guidance on the optimal number of features and feature selection strategies for modeling.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3B2"/>
    <w:rsid w:val="000737D4"/>
    <w:rsid w:val="00322286"/>
    <w:rsid w:val="005C1393"/>
    <w:rsid w:val="006036FE"/>
    <w:rsid w:val="007274B4"/>
    <w:rsid w:val="00B233B2"/>
    <w:rsid w:val="D9FF7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4">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uiPriority w:val="9"/>
    <w:rPr>
      <w:rFonts w:asciiTheme="majorHAnsi" w:hAnsiTheme="majorHAnsi" w:eastAsiaTheme="majorEastAsia" w:cstheme="majorBidi"/>
      <w:color w:val="2F5597" w:themeColor="accent1" w:themeShade="BF"/>
      <w:sz w:val="48"/>
      <w:szCs w:val="48"/>
    </w:rPr>
  </w:style>
  <w:style w:type="character" w:customStyle="1" w:styleId="17">
    <w:name w:val="标题 2 字符"/>
    <w:basedOn w:val="15"/>
    <w:link w:val="3"/>
    <w:semiHidden/>
    <w:uiPriority w:val="9"/>
    <w:rPr>
      <w:rFonts w:asciiTheme="majorHAnsi" w:hAnsiTheme="majorHAnsi" w:eastAsiaTheme="majorEastAsia" w:cstheme="majorBidi"/>
      <w:color w:val="2F5597" w:themeColor="accent1" w:themeShade="BF"/>
      <w:sz w:val="40"/>
      <w:szCs w:val="40"/>
    </w:rPr>
  </w:style>
  <w:style w:type="character" w:customStyle="1" w:styleId="18">
    <w:name w:val="标题 3 字符"/>
    <w:basedOn w:val="15"/>
    <w:link w:val="4"/>
    <w:semiHidden/>
    <w:uiPriority w:val="9"/>
    <w:rPr>
      <w:rFonts w:asciiTheme="majorHAnsi" w:hAnsiTheme="majorHAnsi" w:eastAsiaTheme="majorEastAsia" w:cstheme="majorBidi"/>
      <w:color w:val="2F5597" w:themeColor="accent1" w:themeShade="BF"/>
      <w:sz w:val="32"/>
      <w:szCs w:val="32"/>
    </w:rPr>
  </w:style>
  <w:style w:type="character" w:customStyle="1" w:styleId="19">
    <w:name w:val="标题 4 字符"/>
    <w:basedOn w:val="15"/>
    <w:link w:val="5"/>
    <w:semiHidden/>
    <w:uiPriority w:val="9"/>
    <w:rPr>
      <w:rFonts w:cstheme="majorBidi"/>
      <w:color w:val="2F5597" w:themeColor="accent1" w:themeShade="BF"/>
      <w:sz w:val="28"/>
      <w:szCs w:val="28"/>
    </w:rPr>
  </w:style>
  <w:style w:type="character" w:customStyle="1" w:styleId="20">
    <w:name w:val="标题 5 字符"/>
    <w:basedOn w:val="15"/>
    <w:link w:val="6"/>
    <w:semiHidden/>
    <w:uiPriority w:val="9"/>
    <w:rPr>
      <w:rFonts w:cstheme="majorBidi"/>
      <w:color w:val="2F5597" w:themeColor="accent1" w:themeShade="BF"/>
      <w:sz w:val="24"/>
    </w:rPr>
  </w:style>
  <w:style w:type="character" w:customStyle="1" w:styleId="21">
    <w:name w:val="标题 6 字符"/>
    <w:basedOn w:val="15"/>
    <w:link w:val="7"/>
    <w:semiHidden/>
    <w:uiPriority w:val="9"/>
    <w:rPr>
      <w:rFonts w:cstheme="majorBidi"/>
      <w:b/>
      <w:bCs/>
      <w:color w:val="2F5597" w:themeColor="accent1" w:themeShade="BF"/>
    </w:rPr>
  </w:style>
  <w:style w:type="character" w:customStyle="1" w:styleId="22">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明显引用 字符"/>
    <w:basedOn w:val="15"/>
    <w:link w:val="31"/>
    <w:uiPriority w:val="30"/>
    <w:rPr>
      <w:i/>
      <w:iCs/>
      <w:color w:val="2F5597" w:themeColor="accent1" w:themeShade="BF"/>
    </w:rPr>
  </w:style>
  <w:style w:type="character" w:customStyle="1" w:styleId="33">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479</Words>
  <Characters>2732</Characters>
  <Lines>22</Lines>
  <Paragraphs>6</Paragraphs>
  <TotalTime>57</TotalTime>
  <ScaleCrop>false</ScaleCrop>
  <LinksUpToDate>false</LinksUpToDate>
  <CharactersWithSpaces>3205</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2026-02-23T19:48:00Z</dcterms:created>
  <dc:creator>悠然 徐</dc:creator>
  <cp:lastModifiedBy>预防针</cp:lastModifiedBy>
  <dcterms:modified xsi:type="dcterms:W3CDTF">2026-02-24T00:54:08Z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987BCCF3C238D9C230869C69382658C8_42</vt:lpwstr>
  </property>
</Properties>
</file>