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Times New Roman" w:hAnsi="Times New Roman" w:eastAsia="黑体"/>
          <w:b/>
          <w:color w:val="2F6B4F"/>
          <w:sz w:val="56"/>
        </w:rPr>
        <w:t>PLAMD / SiblingRestore</w:t>
      </w:r>
    </w:p>
    <w:p>
      <w:pPr>
        <w:jc w:val="center"/>
      </w:pPr>
      <w:r>
        <w:rPr>
          <w:rFonts w:ascii="Times New Roman" w:hAnsi="Times New Roman" w:eastAsia="黑体"/>
          <w:b/>
          <w:color w:val="263238"/>
          <w:sz w:val="44"/>
        </w:rPr>
        <w:t>实验体系与执行路线 v2.0</w:t>
      </w:r>
    </w:p>
    <w:p>
      <w:pPr>
        <w:spacing w:before="320"/>
        <w:jc w:val="center"/>
      </w:pPr>
      <w:r>
        <w:rPr>
          <w:rFonts w:ascii="Times New Roman" w:hAnsi="Times New Roman" w:eastAsia="宋体"/>
          <w:color w:val="667085"/>
          <w:sz w:val="23"/>
        </w:rPr>
        <w:t>从“模型有效”到“机制可信、泛化稳定、应用有价值”的完整证据链</w:t>
      </w:r>
    </w:p>
    <w:p>
      <w:pPr>
        <w:spacing w:before="560"/>
        <w:jc w:val="center"/>
      </w:pPr>
      <w:r>
        <w:rPr>
          <w:rFonts w:ascii="Times New Roman" w:hAnsi="Times New Roman" w:eastAsia="宋体"/>
          <w:color w:val="263238"/>
          <w:sz w:val="21"/>
        </w:rPr>
        <w:t>更新要点：删除Composite Degradation；新增Verifier Independence、Task Scaling、Sibling Availability、Reliability Validation、Gradient Conflict等方法特异性实验。</w:t>
      </w:r>
    </w:p>
    <w:p>
      <w:pPr>
        <w:spacing w:before="1000"/>
        <w:jc w:val="center"/>
      </w:pPr>
      <w:r>
        <w:rPr>
          <w:rFonts w:ascii="Times New Roman" w:hAnsi="Times New Roman" w:eastAsia="宋体"/>
          <w:color w:val="667085"/>
          <w:sz w:val="19"/>
        </w:rPr>
        <w:t>版本日期：2026-08-22</w:t>
      </w:r>
    </w:p>
    <w:p>
      <w:r>
        <w:br w:type="page"/>
      </w:r>
    </w:p>
    <w:p>
      <w:pPr>
        <w:pStyle w:val="Heading1"/>
      </w:pPr>
      <w:r>
        <w:t>0.执行结论</w:t>
      </w:r>
    </w:p>
    <w:p>
      <w:r>
        <w:rPr>
          <w:rFonts w:ascii="Times New Roman" w:hAnsi="Times New Roman" w:eastAsia="宋体"/>
          <w:b/>
          <w:color w:val="263238"/>
          <w:sz w:val="22"/>
        </w:rPr>
        <w:t>这套实验的目标不是“多做表”，而是围绕8个核心Claim建立闭环证据。</w:t>
      </w:r>
    </w:p>
    <w:p>
      <w:pPr>
        <w:spacing w:after="60" w:line="276" w:lineRule="auto"/>
      </w:pPr>
      <w:r>
        <w:rPr>
          <w:rFonts w:ascii="Times New Roman" w:hAnsi="Times New Roman" w:eastAsia="宋体"/>
          <w:color w:val="263238"/>
          <w:sz w:val="22"/>
        </w:rPr>
        <w:t>当前建议总计约20个实验模块，但只有P0/P1必须进入主论文。P2用于增强鲁棒性和机制深度，P3只在资源充足或审稿需要时补。执行上严格遵循：先验证模型成立→再跑关键baseline→再做机制→再做鲁棒性/OOD→最后做下游、统计和可视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3400"/>
            <w:shd w:fill="2F6B4F"/>
          </w:tcPr>
          <w:p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Claim</w:t>
            </w:r>
          </w:p>
        </w:tc>
        <w:tc>
          <w:tcPr>
            <w:tcW w:type="dxa" w:w="3400"/>
            <w:shd w:fill="2F6B4F"/>
          </w:tcPr>
          <w:p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要证明什么</w:t>
            </w:r>
          </w:p>
        </w:tc>
        <w:tc>
          <w:tcPr>
            <w:tcW w:type="dxa" w:w="3400"/>
            <w:shd w:fill="2F6B4F"/>
          </w:tcPr>
          <w:p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核心证据</w:t>
            </w:r>
          </w:p>
        </w:tc>
      </w:tr>
      <w:tr>
        <w:trPr>
          <w:cantSplit/>
        </w:trPr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EAF3EE"/>
          </w:tcPr>
          <w:p>
            <w:r>
              <w:rPr>
                <w:rFonts w:ascii="Times New Roman" w:hAnsi="Times New Roman" w:eastAsia="宋体"/>
                <w:sz w:val="18"/>
              </w:rPr>
              <w:t>C1</w:t>
            </w:r>
          </w:p>
        </w:tc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宋体"/>
                <w:sz w:val="18"/>
              </w:rPr>
              <w:t>恢复质量强</w:t>
            </w:r>
          </w:p>
        </w:tc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宋体"/>
                <w:sz w:val="18"/>
              </w:rPr>
              <w:t>7退化PSNR/SSIM/LPIPS主表</w:t>
            </w:r>
          </w:p>
        </w:tc>
      </w:tr>
      <w:tr>
        <w:trPr>
          <w:cantSplit/>
        </w:trPr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EAF3EE"/>
          </w:tcPr>
          <w:p>
            <w:r>
              <w:rPr>
                <w:rFonts w:ascii="Times New Roman" w:hAnsi="Times New Roman" w:eastAsia="宋体"/>
                <w:sz w:val="18"/>
              </w:rPr>
              <w:t>C2</w:t>
            </w:r>
          </w:p>
        </w:tc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宋体"/>
                <w:sz w:val="18"/>
              </w:rPr>
              <w:t>相比现有AIO方法有竞争力</w:t>
            </w:r>
          </w:p>
        </w:tc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宋体"/>
                <w:sz w:val="18"/>
              </w:rPr>
              <w:t>Restormer/PromptIR/GRL/MFNET/DFPIR/R2R等</w:t>
            </w:r>
          </w:p>
        </w:tc>
      </w:tr>
      <w:tr>
        <w:trPr>
          <w:cantSplit/>
        </w:trPr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EAF3EE"/>
          </w:tcPr>
          <w:p>
            <w:r>
              <w:rPr>
                <w:rFonts w:ascii="Times New Roman" w:hAnsi="Times New Roman" w:eastAsia="宋体"/>
                <w:sz w:val="18"/>
              </w:rPr>
              <w:t>C3</w:t>
            </w:r>
          </w:p>
        </w:tc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宋体"/>
                <w:sz w:val="18"/>
              </w:rPr>
              <w:t>轻量且部署友好</w:t>
            </w:r>
          </w:p>
        </w:tc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宋体"/>
                <w:sz w:val="18"/>
              </w:rPr>
              <w:t>Params/MACs/Latency/VRAM，训练开销与推理开销分开</w:t>
            </w:r>
          </w:p>
        </w:tc>
      </w:tr>
      <w:tr>
        <w:trPr>
          <w:cantSplit/>
        </w:trPr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EAF3EE"/>
          </w:tcPr>
          <w:p>
            <w:r>
              <w:rPr>
                <w:rFonts w:ascii="Times New Roman" w:hAnsi="Times New Roman" w:eastAsia="宋体"/>
                <w:sz w:val="18"/>
              </w:rPr>
              <w:t>C4</w:t>
            </w:r>
          </w:p>
        </w:tc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宋体"/>
                <w:sz w:val="18"/>
              </w:rPr>
              <w:t>恢复后更保持物理source</w:t>
            </w:r>
          </w:p>
        </w:tc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宋体"/>
                <w:sz w:val="18"/>
              </w:rPr>
              <w:t>Condition-matched Retrieval/EER/AUC/Margin</w:t>
            </w:r>
          </w:p>
        </w:tc>
      </w:tr>
      <w:tr>
        <w:trPr>
          <w:cantSplit/>
        </w:trPr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EAF3EE"/>
          </w:tcPr>
          <w:p>
            <w:r>
              <w:rPr>
                <w:rFonts w:ascii="Times New Roman" w:hAnsi="Times New Roman" w:eastAsia="宋体"/>
                <w:sz w:val="18"/>
              </w:rPr>
              <w:t>C5</w:t>
            </w:r>
          </w:p>
        </w:tc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宋体"/>
                <w:sz w:val="18"/>
              </w:rPr>
              <w:t>RSD机制真的有效</w:t>
            </w:r>
          </w:p>
        </w:tc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宋体"/>
                <w:sz w:val="18"/>
              </w:rPr>
              <w:t>完整消融、可靠度相关性、sibling数量、within/between-source分析</w:t>
            </w:r>
          </w:p>
        </w:tc>
      </w:tr>
      <w:tr>
        <w:trPr>
          <w:cantSplit/>
        </w:trPr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EAF3EE"/>
          </w:tcPr>
          <w:p>
            <w:r>
              <w:rPr>
                <w:rFonts w:ascii="Times New Roman" w:hAnsi="Times New Roman" w:eastAsia="宋体"/>
                <w:sz w:val="18"/>
              </w:rPr>
              <w:t>C6</w:t>
            </w:r>
          </w:p>
        </w:tc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宋体"/>
                <w:sz w:val="18"/>
              </w:rPr>
              <w:t>退化任务越多越体现优势</w:t>
            </w:r>
          </w:p>
        </w:tc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宋体"/>
                <w:sz w:val="18"/>
              </w:rPr>
              <w:t>1D/3D/5D/7D Task Scaling与梯度冲突分析</w:t>
            </w:r>
          </w:p>
        </w:tc>
      </w:tr>
      <w:tr>
        <w:trPr>
          <w:cantSplit/>
        </w:trPr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EAF3EE"/>
          </w:tcPr>
          <w:p>
            <w:r>
              <w:rPr>
                <w:rFonts w:ascii="Times New Roman" w:hAnsi="Times New Roman" w:eastAsia="宋体"/>
                <w:sz w:val="18"/>
              </w:rPr>
              <w:t>C7</w:t>
            </w:r>
          </w:p>
        </w:tc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宋体"/>
                <w:sz w:val="18"/>
              </w:rPr>
              <w:t>未知/困难场景仍稳定</w:t>
            </w:r>
          </w:p>
        </w:tc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宋体"/>
                <w:sz w:val="18"/>
              </w:rPr>
              <w:t>Severity、LODO、Cross-component OOD、missing sibling</w:t>
            </w:r>
          </w:p>
        </w:tc>
      </w:tr>
      <w:tr>
        <w:trPr>
          <w:cantSplit/>
        </w:trPr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EAF3EE"/>
          </w:tcPr>
          <w:p>
            <w:r>
              <w:rPr>
                <w:rFonts w:ascii="Times New Roman" w:hAnsi="Times New Roman" w:eastAsia="宋体"/>
                <w:sz w:val="18"/>
              </w:rPr>
              <w:t>C8</w:t>
            </w:r>
          </w:p>
        </w:tc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宋体"/>
                <w:sz w:val="18"/>
              </w:rPr>
              <w:t>对电力巡检有真实价值</w:t>
            </w:r>
          </w:p>
        </w:tc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rFonts w:ascii="Times New Roman" w:hAnsi="Times New Roman" w:eastAsia="宋体"/>
                <w:sz w:val="18"/>
              </w:rPr>
              <w:t>Frozen Inspector、defect flip、失败案例</w:t>
            </w:r>
          </w:p>
        </w:tc>
      </w:tr>
    </w:tbl>
    <w:p>
      <w:pPr>
        <w:pStyle w:val="Heading1"/>
      </w:pPr>
      <w:r>
        <w:t>1.已冻结的数据与训练协议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宋体"/>
          <w:color w:val="263238"/>
          <w:sz w:val="21"/>
        </w:rPr>
        <w:t>主域：PLAMD vari-grip，1,279个Complete-7 source；good=596、rust=310、bird-nest=373。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宋体"/>
          <w:color w:val="263238"/>
          <w:sz w:val="21"/>
        </w:rPr>
        <w:t>Split固定：train=895、val=128、test=256，source-level、condition-stratified，同一source绝不跨split。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宋体"/>
          <w:color w:val="263238"/>
          <w:sz w:val="21"/>
        </w:rPr>
        <w:t>7种退化全部进入主实验：blur、haze、inpainting、lowlight、noise、rain、snow。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宋体"/>
          <w:color w:val="263238"/>
          <w:sz w:val="21"/>
        </w:rPr>
        <w:t>训练统一crop_size=256；评估原分辨率pad到8倍数后tile=512。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宋体"/>
          <w:color w:val="263238"/>
          <w:sz w:val="21"/>
        </w:rPr>
        <w:t>Noise采用Method B：运行时将clean确定性resize到noise原生尺寸，再进行同位置paired crop；不覆盖原始文件。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宋体"/>
          <w:color w:val="263238"/>
          <w:sz w:val="21"/>
        </w:rPr>
        <w:t>所有baseline与Ours共享同一数据split、预处理、评价脚本和dataset fingerprint。</w:t>
      </w:r>
    </w:p>
    <w:p>
      <w:pPr>
        <w:spacing w:after="60" w:line="276" w:lineRule="auto"/>
      </w:pPr>
      <w:r>
        <w:rPr>
          <w:rFonts w:ascii="Times New Roman" w:hAnsi="Times New Roman" w:eastAsia="宋体"/>
          <w:b/>
          <w:color w:val="263238"/>
          <w:sz w:val="21"/>
        </w:rPr>
        <w:t>明确删除：Composite Degradation</w:t>
      </w:r>
      <w:r>
        <w:rPr>
          <w:rFonts w:ascii="Times New Roman" w:hAnsi="Times New Roman" w:eastAsia="宋体"/>
          <w:color w:val="263238"/>
          <w:sz w:val="21"/>
        </w:rPr>
        <w:t>。PLAMD当前没有天然复合退化pair，强行合成会引入额外生成顺序和参数假设，不作为这篇论文的核心证据。</w:t>
      </w:r>
    </w:p>
    <w:p>
      <w:pPr>
        <w:pStyle w:val="Heading1"/>
      </w:pPr>
      <w:r>
        <w:t>2.优先级定义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3400"/>
            <w:shd w:fill="2F6B4F"/>
          </w:tcPr>
          <w:p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级别</w:t>
            </w:r>
          </w:p>
        </w:tc>
        <w:tc>
          <w:tcPr>
            <w:tcW w:type="dxa" w:w="3400"/>
            <w:shd w:fill="2F6B4F"/>
          </w:tcPr>
          <w:p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3400"/>
            <w:shd w:fill="2F6B4F"/>
          </w:tcPr>
          <w:p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执行原则</w:t>
            </w:r>
          </w:p>
        </w:tc>
      </w:tr>
      <w:tr>
        <w:trPr>
          <w:cantSplit/>
        </w:trPr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  <w:shd w:fill="FDECEC"/>
          </w:tcPr>
          <w:p>
            <w:r>
              <w:rPr>
                <w:rFonts w:ascii="Times New Roman" w:hAnsi="Times New Roman" w:eastAsia="宋体"/>
                <w:sz w:val="18"/>
              </w:rPr>
              <w:t>P0｜阻塞项</w:t>
            </w:r>
          </w:p>
        </w:tc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宋体"/>
                <w:sz w:val="18"/>
              </w:rPr>
              <w:t>模型冻结前必须完成。任何P0失败，都先修模型/管线，不进入大规模训练。</w:t>
            </w:r>
          </w:p>
        </w:tc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宋体"/>
                <w:sz w:val="18"/>
              </w:rPr>
              <w:t>红色</w:t>
            </w:r>
          </w:p>
        </w:tc>
      </w:tr>
      <w:tr>
        <w:trPr>
          <w:cantSplit/>
        </w:trPr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  <w:shd w:fill="FFF2E5"/>
          </w:tcPr>
          <w:p>
            <w:r>
              <w:rPr>
                <w:rFonts w:ascii="Times New Roman" w:hAnsi="Times New Roman" w:eastAsia="宋体"/>
                <w:sz w:val="18"/>
              </w:rPr>
              <w:t>P1｜主论文必做</w:t>
            </w:r>
          </w:p>
        </w:tc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宋体"/>
                <w:sz w:val="18"/>
              </w:rPr>
              <w:t>决定论文完整性，投稿前必须完成。</w:t>
            </w:r>
          </w:p>
        </w:tc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宋体"/>
                <w:sz w:val="18"/>
              </w:rPr>
              <w:t>橙色</w:t>
            </w:r>
          </w:p>
        </w:tc>
      </w:tr>
      <w:tr>
        <w:trPr>
          <w:cantSplit/>
        </w:trPr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  <w:shd w:fill="EAF2F8"/>
          </w:tcPr>
          <w:p>
            <w:r>
              <w:rPr>
                <w:rFonts w:ascii="Times New Roman" w:hAnsi="Times New Roman" w:eastAsia="宋体"/>
                <w:sz w:val="18"/>
              </w:rPr>
              <w:t>P2｜强增强项</w:t>
            </w:r>
          </w:p>
        </w:tc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宋体"/>
                <w:sz w:val="18"/>
              </w:rPr>
              <w:t>显著提升机制深度、鲁棒性或审稿抗性；资源允许尽量完成。</w:t>
            </w:r>
          </w:p>
        </w:tc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宋体"/>
                <w:sz w:val="18"/>
              </w:rPr>
              <w:t>蓝色</w:t>
            </w:r>
          </w:p>
        </w:tc>
      </w:tr>
      <w:tr>
        <w:trPr>
          <w:cantSplit/>
        </w:trPr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  <w:shd w:fill="F2F4F7"/>
          </w:tcPr>
          <w:p>
            <w:r>
              <w:rPr>
                <w:rFonts w:ascii="Times New Roman" w:hAnsi="Times New Roman" w:eastAsia="宋体"/>
                <w:sz w:val="18"/>
              </w:rPr>
              <w:t>P3｜补充/按需</w:t>
            </w:r>
          </w:p>
        </w:tc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宋体"/>
                <w:sz w:val="18"/>
              </w:rPr>
              <w:t>主要用于Supplementary、审稿补实验或进一步扩展。</w:t>
            </w:r>
          </w:p>
        </w:tc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宋体"/>
                <w:sz w:val="18"/>
              </w:rPr>
              <w:t>灰色</w:t>
            </w:r>
          </w:p>
        </w:tc>
      </w:tr>
    </w:tbl>
    <w:p>
      <w:pPr>
        <w:pStyle w:val="Heading1"/>
      </w:pPr>
      <w:r>
        <w:t>3.新版实验总表：建议20个模块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  <w:cantSplit/>
        </w:trPr>
        <w:tc>
          <w:tcPr>
            <w:tcW w:type="dxa" w:w="2040"/>
            <w:shd w:fill="2F6B4F"/>
          </w:tcPr>
          <w:p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2040"/>
            <w:shd w:fill="2F6B4F"/>
          </w:tcPr>
          <w:p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实验</w:t>
            </w:r>
          </w:p>
        </w:tc>
        <w:tc>
          <w:tcPr>
            <w:tcW w:type="dxa" w:w="2040"/>
            <w:shd w:fill="2F6B4F"/>
          </w:tcPr>
          <w:p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核心问题</w:t>
            </w:r>
          </w:p>
        </w:tc>
        <w:tc>
          <w:tcPr>
            <w:tcW w:type="dxa" w:w="2040"/>
            <w:shd w:fill="2F6B4F"/>
          </w:tcPr>
          <w:p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2040"/>
            <w:shd w:fill="2F6B4F"/>
          </w:tcPr>
          <w:p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阶段</w:t>
            </w:r>
          </w:p>
        </w:tc>
      </w:tr>
      <w:tr>
        <w:trPr>
          <w:cantSplit/>
        </w:trPr>
        <w:tc>
          <w:tcPr>
            <w:tcW w:type="dxa" w:w="2040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E0</w:t>
            </w:r>
          </w:p>
        </w:tc>
        <w:tc>
          <w:tcPr>
            <w:tcW w:type="dxa" w:w="2040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数据/评估管线Sanity</w:t>
            </w:r>
          </w:p>
        </w:tc>
        <w:tc>
          <w:tcPr>
            <w:tcW w:type="dxa" w:w="2040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确认split、Method B、指标、fingerprint、无leakage</w:t>
            </w:r>
          </w:p>
        </w:tc>
        <w:tc>
          <w:tcPr>
            <w:tcW w:type="dxa" w:w="2040"/>
            <w:tcMar>
              <w:top w:w="50" w:type="dxa"/>
              <w:start w:w="55" w:type="dxa"/>
              <w:bottom w:w="50" w:type="dxa"/>
              <w:end w:w="55" w:type="dxa"/>
            </w:tcMar>
            <w:shd w:fill="FDECEC"/>
          </w:tcPr>
          <w:p>
            <w:r>
              <w:rPr>
                <w:rFonts w:ascii="Times New Roman" w:hAnsi="Times New Roman" w:eastAsia="宋体"/>
                <w:sz w:val="16"/>
              </w:rPr>
              <w:t>P0</w:t>
            </w:r>
          </w:p>
        </w:tc>
        <w:tc>
          <w:tcPr>
            <w:tcW w:type="dxa" w:w="2040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Phase 0</w:t>
            </w:r>
          </w:p>
        </w:tc>
      </w:tr>
      <w:tr>
        <w:trPr>
          <w:cantSplit/>
        </w:trPr>
        <w:tc>
          <w:tcPr>
            <w:tcW w:type="dxa" w:w="2040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E1</w:t>
            </w:r>
          </w:p>
        </w:tc>
        <w:tc>
          <w:tcPr>
            <w:tcW w:type="dxa" w:w="2040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核心模型可行性</w:t>
            </w:r>
          </w:p>
        </w:tc>
        <w:tc>
          <w:tcPr>
            <w:tcW w:type="dxa" w:w="2040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Reconstruction baseline vs RSD/Ours，先证明方法方向成立</w:t>
            </w:r>
          </w:p>
        </w:tc>
        <w:tc>
          <w:tcPr>
            <w:tcW w:type="dxa" w:w="2040"/>
            <w:tcMar>
              <w:top w:w="50" w:type="dxa"/>
              <w:start w:w="55" w:type="dxa"/>
              <w:bottom w:w="50" w:type="dxa"/>
              <w:end w:w="55" w:type="dxa"/>
            </w:tcMar>
            <w:shd w:fill="FDECEC"/>
          </w:tcPr>
          <w:p>
            <w:r>
              <w:rPr>
                <w:rFonts w:ascii="Times New Roman" w:hAnsi="Times New Roman" w:eastAsia="宋体"/>
                <w:sz w:val="16"/>
              </w:rPr>
              <w:t>P0</w:t>
            </w:r>
          </w:p>
        </w:tc>
        <w:tc>
          <w:tcPr>
            <w:tcW w:type="dxa" w:w="2040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Phase I</w:t>
            </w:r>
          </w:p>
        </w:tc>
      </w:tr>
      <w:tr>
        <w:trPr>
          <w:cantSplit/>
        </w:trPr>
        <w:tc>
          <w:tcPr>
            <w:tcW w:type="dxa" w:w="2040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E2</w:t>
            </w:r>
          </w:p>
        </w:tc>
        <w:tc>
          <w:tcPr>
            <w:tcW w:type="dxa" w:w="2040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关键baseline首轮</w:t>
            </w:r>
          </w:p>
        </w:tc>
        <w:tc>
          <w:tcPr>
            <w:tcW w:type="dxa" w:w="2040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Restormer、PromptIR、GRL、MFNET先1 seed</w:t>
            </w:r>
          </w:p>
        </w:tc>
        <w:tc>
          <w:tcPr>
            <w:tcW w:type="dxa" w:w="2040"/>
            <w:tcMar>
              <w:top w:w="50" w:type="dxa"/>
              <w:start w:w="55" w:type="dxa"/>
              <w:bottom w:w="50" w:type="dxa"/>
              <w:end w:w="55" w:type="dxa"/>
            </w:tcMar>
            <w:shd w:fill="FDECEC"/>
          </w:tcPr>
          <w:p>
            <w:r>
              <w:rPr>
                <w:rFonts w:ascii="Times New Roman" w:hAnsi="Times New Roman" w:eastAsia="宋体"/>
                <w:sz w:val="16"/>
              </w:rPr>
              <w:t>P0</w:t>
            </w:r>
          </w:p>
        </w:tc>
        <w:tc>
          <w:tcPr>
            <w:tcW w:type="dxa" w:w="2040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Phase I</w:t>
            </w:r>
          </w:p>
        </w:tc>
      </w:tr>
      <w:tr>
        <w:trPr>
          <w:cantSplit/>
        </w:trPr>
        <w:tc>
          <w:tcPr>
            <w:tcW w:type="dxa" w:w="2040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E3</w:t>
            </w:r>
          </w:p>
        </w:tc>
        <w:tc>
          <w:tcPr>
            <w:tcW w:type="dxa" w:w="2040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7退化AIO主表</w:t>
            </w:r>
          </w:p>
        </w:tc>
        <w:tc>
          <w:tcPr>
            <w:tcW w:type="dxa" w:w="2040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完整baseline上PSNR/SSIM/LPIPS</w:t>
            </w:r>
          </w:p>
        </w:tc>
        <w:tc>
          <w:tcPr>
            <w:tcW w:type="dxa" w:w="2040"/>
            <w:tcMar>
              <w:top w:w="50" w:type="dxa"/>
              <w:start w:w="55" w:type="dxa"/>
              <w:bottom w:w="50" w:type="dxa"/>
              <w:end w:w="55" w:type="dxa"/>
            </w:tcMar>
            <w:shd w:fill="FFF2E5"/>
          </w:tcPr>
          <w:p>
            <w:r>
              <w:rPr>
                <w:rFonts w:ascii="Times New Roman" w:hAnsi="Times New Roman" w:eastAsia="宋体"/>
                <w:sz w:val="16"/>
              </w:rPr>
              <w:t>P1</w:t>
            </w:r>
          </w:p>
        </w:tc>
        <w:tc>
          <w:tcPr>
            <w:tcW w:type="dxa" w:w="2040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Phase II</w:t>
            </w:r>
          </w:p>
        </w:tc>
      </w:tr>
      <w:tr>
        <w:trPr>
          <w:cantSplit/>
        </w:trPr>
        <w:tc>
          <w:tcPr>
            <w:tcW w:type="dxa" w:w="2040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E4</w:t>
            </w:r>
          </w:p>
        </w:tc>
        <w:tc>
          <w:tcPr>
            <w:tcW w:type="dxa" w:w="2040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Source Fidelity主表</w:t>
            </w:r>
          </w:p>
        </w:tc>
        <w:tc>
          <w:tcPr>
            <w:tcW w:type="dxa" w:w="2040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All/condition-matched retrieval、EER、AUC、Margin</w:t>
            </w:r>
          </w:p>
        </w:tc>
        <w:tc>
          <w:tcPr>
            <w:tcW w:type="dxa" w:w="2040"/>
            <w:tcMar>
              <w:top w:w="50" w:type="dxa"/>
              <w:start w:w="55" w:type="dxa"/>
              <w:bottom w:w="50" w:type="dxa"/>
              <w:end w:w="55" w:type="dxa"/>
            </w:tcMar>
            <w:shd w:fill="FDECEC"/>
          </w:tcPr>
          <w:p>
            <w:r>
              <w:rPr>
                <w:rFonts w:ascii="Times New Roman" w:hAnsi="Times New Roman" w:eastAsia="宋体"/>
                <w:sz w:val="16"/>
              </w:rPr>
              <w:t>P0</w:t>
            </w:r>
          </w:p>
        </w:tc>
        <w:tc>
          <w:tcPr>
            <w:tcW w:type="dxa" w:w="2040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Phase I-II</w:t>
            </w:r>
          </w:p>
        </w:tc>
      </w:tr>
      <w:tr>
        <w:trPr>
          <w:cantSplit/>
        </w:trPr>
        <w:tc>
          <w:tcPr>
            <w:tcW w:type="dxa" w:w="2040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E5</w:t>
            </w:r>
          </w:p>
        </w:tc>
        <w:tc>
          <w:tcPr>
            <w:tcW w:type="dxa" w:w="2040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Independent Verifier检查</w:t>
            </w:r>
          </w:p>
        </w:tc>
        <w:tc>
          <w:tcPr>
            <w:tcW w:type="dxa" w:w="2040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避免训练verifier与评价verifier循环论证</w:t>
            </w:r>
          </w:p>
        </w:tc>
        <w:tc>
          <w:tcPr>
            <w:tcW w:type="dxa" w:w="2040"/>
            <w:tcMar>
              <w:top w:w="50" w:type="dxa"/>
              <w:start w:w="55" w:type="dxa"/>
              <w:bottom w:w="50" w:type="dxa"/>
              <w:end w:w="55" w:type="dxa"/>
            </w:tcMar>
            <w:shd w:fill="FDECEC"/>
          </w:tcPr>
          <w:p>
            <w:r>
              <w:rPr>
                <w:rFonts w:ascii="Times New Roman" w:hAnsi="Times New Roman" w:eastAsia="宋体"/>
                <w:sz w:val="16"/>
              </w:rPr>
              <w:t>P0</w:t>
            </w:r>
          </w:p>
        </w:tc>
        <w:tc>
          <w:tcPr>
            <w:tcW w:type="dxa" w:w="2040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Phase I-II</w:t>
            </w:r>
          </w:p>
        </w:tc>
      </w:tr>
      <w:tr>
        <w:trPr>
          <w:cantSplit/>
        </w:trPr>
        <w:tc>
          <w:tcPr>
            <w:tcW w:type="dxa" w:w="2040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E6</w:t>
            </w:r>
          </w:p>
        </w:tc>
        <w:tc>
          <w:tcPr>
            <w:tcW w:type="dxa" w:w="2040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效率/部署</w:t>
            </w:r>
          </w:p>
        </w:tc>
        <w:tc>
          <w:tcPr>
            <w:tcW w:type="dxa" w:w="2040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Params、MACs、Latency、VRAM、训练额外开销</w:t>
            </w:r>
          </w:p>
        </w:tc>
        <w:tc>
          <w:tcPr>
            <w:tcW w:type="dxa" w:w="2040"/>
            <w:tcMar>
              <w:top w:w="50" w:type="dxa"/>
              <w:start w:w="55" w:type="dxa"/>
              <w:bottom w:w="50" w:type="dxa"/>
              <w:end w:w="55" w:type="dxa"/>
            </w:tcMar>
            <w:shd w:fill="FFF2E5"/>
          </w:tcPr>
          <w:p>
            <w:r>
              <w:rPr>
                <w:rFonts w:ascii="Times New Roman" w:hAnsi="Times New Roman" w:eastAsia="宋体"/>
                <w:sz w:val="16"/>
              </w:rPr>
              <w:t>P1</w:t>
            </w:r>
          </w:p>
        </w:tc>
        <w:tc>
          <w:tcPr>
            <w:tcW w:type="dxa" w:w="2040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Phase II</w:t>
            </w:r>
          </w:p>
        </w:tc>
      </w:tr>
      <w:tr>
        <w:trPr>
          <w:cantSplit/>
        </w:trPr>
        <w:tc>
          <w:tcPr>
            <w:tcW w:type="dxa" w:w="2040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E7</w:t>
            </w:r>
          </w:p>
        </w:tc>
        <w:tc>
          <w:tcPr>
            <w:tcW w:type="dxa" w:w="2040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核心消融</w:t>
            </w:r>
          </w:p>
        </w:tc>
        <w:tc>
          <w:tcPr>
            <w:tcW w:type="dxa" w:w="2040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RSD、reliability、hard negative、stop-grad、dim等</w:t>
            </w:r>
          </w:p>
        </w:tc>
        <w:tc>
          <w:tcPr>
            <w:tcW w:type="dxa" w:w="2040"/>
            <w:tcMar>
              <w:top w:w="50" w:type="dxa"/>
              <w:start w:w="55" w:type="dxa"/>
              <w:bottom w:w="50" w:type="dxa"/>
              <w:end w:w="55" w:type="dxa"/>
            </w:tcMar>
            <w:shd w:fill="FDECEC"/>
          </w:tcPr>
          <w:p>
            <w:r>
              <w:rPr>
                <w:rFonts w:ascii="Times New Roman" w:hAnsi="Times New Roman" w:eastAsia="宋体"/>
                <w:sz w:val="16"/>
              </w:rPr>
              <w:t>P0</w:t>
            </w:r>
          </w:p>
        </w:tc>
        <w:tc>
          <w:tcPr>
            <w:tcW w:type="dxa" w:w="2040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Phase III</w:t>
            </w:r>
          </w:p>
        </w:tc>
      </w:tr>
      <w:tr>
        <w:trPr>
          <w:cantSplit/>
        </w:trPr>
        <w:tc>
          <w:tcPr>
            <w:tcW w:type="dxa" w:w="2040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E8</w:t>
            </w:r>
          </w:p>
        </w:tc>
        <w:tc>
          <w:tcPr>
            <w:tcW w:type="dxa" w:w="2040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Task Scaling 1/3/5/7D</w:t>
            </w:r>
          </w:p>
        </w:tc>
        <w:tc>
          <w:tcPr>
            <w:tcW w:type="dxa" w:w="2040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验证任务越多时Sibling机制越有价值</w:t>
            </w:r>
          </w:p>
        </w:tc>
        <w:tc>
          <w:tcPr>
            <w:tcW w:type="dxa" w:w="2040"/>
            <w:tcMar>
              <w:top w:w="50" w:type="dxa"/>
              <w:start w:w="55" w:type="dxa"/>
              <w:bottom w:w="50" w:type="dxa"/>
              <w:end w:w="55" w:type="dxa"/>
            </w:tcMar>
            <w:shd w:fill="FFF2E5"/>
          </w:tcPr>
          <w:p>
            <w:r>
              <w:rPr>
                <w:rFonts w:ascii="Times New Roman" w:hAnsi="Times New Roman" w:eastAsia="宋体"/>
                <w:sz w:val="16"/>
              </w:rPr>
              <w:t>P1</w:t>
            </w:r>
          </w:p>
        </w:tc>
        <w:tc>
          <w:tcPr>
            <w:tcW w:type="dxa" w:w="2040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Phase III</w:t>
            </w:r>
          </w:p>
        </w:tc>
      </w:tr>
      <w:tr>
        <w:trPr>
          <w:cantSplit/>
        </w:trPr>
        <w:tc>
          <w:tcPr>
            <w:tcW w:type="dxa" w:w="2040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E9</w:t>
            </w:r>
          </w:p>
        </w:tc>
        <w:tc>
          <w:tcPr>
            <w:tcW w:type="dxa" w:w="2040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Reliability有效性</w:t>
            </w:r>
          </w:p>
        </w:tc>
        <w:tc>
          <w:tcPr>
            <w:tcW w:type="dxa" w:w="2040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可靠度与PSNR/source similarity/severity的相关性</w:t>
            </w:r>
          </w:p>
        </w:tc>
        <w:tc>
          <w:tcPr>
            <w:tcW w:type="dxa" w:w="2040"/>
            <w:tcMar>
              <w:top w:w="50" w:type="dxa"/>
              <w:start w:w="55" w:type="dxa"/>
              <w:bottom w:w="50" w:type="dxa"/>
              <w:end w:w="55" w:type="dxa"/>
            </w:tcMar>
            <w:shd w:fill="FFF2E5"/>
          </w:tcPr>
          <w:p>
            <w:r>
              <w:rPr>
                <w:rFonts w:ascii="Times New Roman" w:hAnsi="Times New Roman" w:eastAsia="宋体"/>
                <w:sz w:val="16"/>
              </w:rPr>
              <w:t>P1</w:t>
            </w:r>
          </w:p>
        </w:tc>
        <w:tc>
          <w:tcPr>
            <w:tcW w:type="dxa" w:w="2040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Phase III</w:t>
            </w:r>
          </w:p>
        </w:tc>
      </w:tr>
      <w:tr>
        <w:trPr>
          <w:cantSplit/>
        </w:trPr>
        <w:tc>
          <w:tcPr>
            <w:tcW w:type="dxa" w:w="2040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E10</w:t>
            </w:r>
          </w:p>
        </w:tc>
        <w:tc>
          <w:tcPr>
            <w:tcW w:type="dxa" w:w="2040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Sibling Availability K</w:t>
            </w:r>
          </w:p>
        </w:tc>
        <w:tc>
          <w:tcPr>
            <w:tcW w:type="dxa" w:w="2040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K=2/3/5/7，验证cross-degradation证据量</w:t>
            </w:r>
          </w:p>
        </w:tc>
        <w:tc>
          <w:tcPr>
            <w:tcW w:type="dxa" w:w="2040"/>
            <w:tcMar>
              <w:top w:w="50" w:type="dxa"/>
              <w:start w:w="55" w:type="dxa"/>
              <w:bottom w:w="50" w:type="dxa"/>
              <w:end w:w="55" w:type="dxa"/>
            </w:tcMar>
            <w:shd w:fill="FFF2E5"/>
          </w:tcPr>
          <w:p>
            <w:r>
              <w:rPr>
                <w:rFonts w:ascii="Times New Roman" w:hAnsi="Times New Roman" w:eastAsia="宋体"/>
                <w:sz w:val="16"/>
              </w:rPr>
              <w:t>P1</w:t>
            </w:r>
          </w:p>
        </w:tc>
        <w:tc>
          <w:tcPr>
            <w:tcW w:type="dxa" w:w="2040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Phase III</w:t>
            </w:r>
          </w:p>
        </w:tc>
      </w:tr>
      <w:tr>
        <w:trPr>
          <w:cantSplit/>
        </w:trPr>
        <w:tc>
          <w:tcPr>
            <w:tcW w:type="dxa" w:w="2040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E11</w:t>
            </w:r>
          </w:p>
        </w:tc>
        <w:tc>
          <w:tcPr>
            <w:tcW w:type="dxa" w:w="2040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Within/Between-source一致性</w:t>
            </w:r>
          </w:p>
        </w:tc>
        <w:tc>
          <w:tcPr>
            <w:tcW w:type="dxa" w:w="2040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同source输出收敛，同时保持不同source可分</w:t>
            </w:r>
          </w:p>
        </w:tc>
        <w:tc>
          <w:tcPr>
            <w:tcW w:type="dxa" w:w="2040"/>
            <w:tcMar>
              <w:top w:w="50" w:type="dxa"/>
              <w:start w:w="55" w:type="dxa"/>
              <w:bottom w:w="50" w:type="dxa"/>
              <w:end w:w="55" w:type="dxa"/>
            </w:tcMar>
            <w:shd w:fill="FFF2E5"/>
          </w:tcPr>
          <w:p>
            <w:r>
              <w:rPr>
                <w:rFonts w:ascii="Times New Roman" w:hAnsi="Times New Roman" w:eastAsia="宋体"/>
                <w:sz w:val="16"/>
              </w:rPr>
              <w:t>P1</w:t>
            </w:r>
          </w:p>
        </w:tc>
        <w:tc>
          <w:tcPr>
            <w:tcW w:type="dxa" w:w="2040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Phase III</w:t>
            </w:r>
          </w:p>
        </w:tc>
      </w:tr>
      <w:tr>
        <w:trPr>
          <w:cantSplit/>
        </w:trPr>
        <w:tc>
          <w:tcPr>
            <w:tcW w:type="dxa" w:w="2040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E12</w:t>
            </w:r>
          </w:p>
        </w:tc>
        <w:tc>
          <w:tcPr>
            <w:tcW w:type="dxa" w:w="2040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Gradient Conflict</w:t>
            </w:r>
          </w:p>
        </w:tc>
        <w:tc>
          <w:tcPr>
            <w:tcW w:type="dxa" w:w="2040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7×7任务梯度余弦相似度热图</w:t>
            </w:r>
          </w:p>
        </w:tc>
        <w:tc>
          <w:tcPr>
            <w:tcW w:type="dxa" w:w="2040"/>
            <w:tcMar>
              <w:top w:w="50" w:type="dxa"/>
              <w:start w:w="55" w:type="dxa"/>
              <w:bottom w:w="50" w:type="dxa"/>
              <w:end w:w="55" w:type="dxa"/>
            </w:tcMar>
            <w:shd w:fill="EAF2F8"/>
          </w:tcPr>
          <w:p>
            <w:r>
              <w:rPr>
                <w:rFonts w:ascii="Times New Roman" w:hAnsi="Times New Roman" w:eastAsia="宋体"/>
                <w:sz w:val="16"/>
              </w:rPr>
              <w:t>P2</w:t>
            </w:r>
          </w:p>
        </w:tc>
        <w:tc>
          <w:tcPr>
            <w:tcW w:type="dxa" w:w="2040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Phase III</w:t>
            </w:r>
          </w:p>
        </w:tc>
      </w:tr>
      <w:tr>
        <w:trPr>
          <w:cantSplit/>
        </w:trPr>
        <w:tc>
          <w:tcPr>
            <w:tcW w:type="dxa" w:w="2040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E13</w:t>
            </w:r>
          </w:p>
        </w:tc>
        <w:tc>
          <w:tcPr>
            <w:tcW w:type="dxa" w:w="2040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Severity Robustness</w:t>
            </w:r>
          </w:p>
        </w:tc>
        <w:tc>
          <w:tcPr>
            <w:tcW w:type="dxa" w:w="2040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mild/medium/severe下质量与source fidelity退化曲线</w:t>
            </w:r>
          </w:p>
        </w:tc>
        <w:tc>
          <w:tcPr>
            <w:tcW w:type="dxa" w:w="2040"/>
            <w:tcMar>
              <w:top w:w="50" w:type="dxa"/>
              <w:start w:w="55" w:type="dxa"/>
              <w:bottom w:w="50" w:type="dxa"/>
              <w:end w:w="55" w:type="dxa"/>
            </w:tcMar>
            <w:shd w:fill="FFF2E5"/>
          </w:tcPr>
          <w:p>
            <w:r>
              <w:rPr>
                <w:rFonts w:ascii="Times New Roman" w:hAnsi="Times New Roman" w:eastAsia="宋体"/>
                <w:sz w:val="16"/>
              </w:rPr>
              <w:t>P1</w:t>
            </w:r>
          </w:p>
        </w:tc>
        <w:tc>
          <w:tcPr>
            <w:tcW w:type="dxa" w:w="2040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Phase IV</w:t>
            </w:r>
          </w:p>
        </w:tc>
      </w:tr>
      <w:tr>
        <w:trPr>
          <w:cantSplit/>
        </w:trPr>
        <w:tc>
          <w:tcPr>
            <w:tcW w:type="dxa" w:w="2040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E14</w:t>
            </w:r>
          </w:p>
        </w:tc>
        <w:tc>
          <w:tcPr>
            <w:tcW w:type="dxa" w:w="2040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Leave-One-Degradation-Out</w:t>
            </w:r>
          </w:p>
        </w:tc>
        <w:tc>
          <w:tcPr>
            <w:tcW w:type="dxa" w:w="2040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未见退化泛化，优先haze/noise/blur</w:t>
            </w:r>
          </w:p>
        </w:tc>
        <w:tc>
          <w:tcPr>
            <w:tcW w:type="dxa" w:w="2040"/>
            <w:tcMar>
              <w:top w:w="50" w:type="dxa"/>
              <w:start w:w="55" w:type="dxa"/>
              <w:bottom w:w="50" w:type="dxa"/>
              <w:end w:w="55" w:type="dxa"/>
            </w:tcMar>
            <w:shd w:fill="FFF2E5"/>
          </w:tcPr>
          <w:p>
            <w:r>
              <w:rPr>
                <w:rFonts w:ascii="Times New Roman" w:hAnsi="Times New Roman" w:eastAsia="宋体"/>
                <w:sz w:val="16"/>
              </w:rPr>
              <w:t>P1</w:t>
            </w:r>
          </w:p>
        </w:tc>
        <w:tc>
          <w:tcPr>
            <w:tcW w:type="dxa" w:w="2040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Phase IV</w:t>
            </w:r>
          </w:p>
        </w:tc>
      </w:tr>
      <w:tr>
        <w:trPr>
          <w:cantSplit/>
        </w:trPr>
        <w:tc>
          <w:tcPr>
            <w:tcW w:type="dxa" w:w="2040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E15</w:t>
            </w:r>
          </w:p>
        </w:tc>
        <w:tc>
          <w:tcPr>
            <w:tcW w:type="dxa" w:w="2040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Cross-component OOD</w:t>
            </w:r>
          </w:p>
        </w:tc>
        <w:tc>
          <w:tcPr>
            <w:tcW w:type="dxa" w:w="2040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4个未见电力部件组件</w:t>
            </w:r>
          </w:p>
        </w:tc>
        <w:tc>
          <w:tcPr>
            <w:tcW w:type="dxa" w:w="2040"/>
            <w:tcMar>
              <w:top w:w="50" w:type="dxa"/>
              <w:start w:w="55" w:type="dxa"/>
              <w:bottom w:w="50" w:type="dxa"/>
              <w:end w:w="55" w:type="dxa"/>
            </w:tcMar>
            <w:shd w:fill="FFF2E5"/>
          </w:tcPr>
          <w:p>
            <w:r>
              <w:rPr>
                <w:rFonts w:ascii="Times New Roman" w:hAnsi="Times New Roman" w:eastAsia="宋体"/>
                <w:sz w:val="16"/>
              </w:rPr>
              <w:t>P1</w:t>
            </w:r>
          </w:p>
        </w:tc>
        <w:tc>
          <w:tcPr>
            <w:tcW w:type="dxa" w:w="2040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Phase IV</w:t>
            </w:r>
          </w:p>
        </w:tc>
      </w:tr>
      <w:tr>
        <w:trPr>
          <w:cantSplit/>
        </w:trPr>
        <w:tc>
          <w:tcPr>
            <w:tcW w:type="dxa" w:w="2040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E16</w:t>
            </w:r>
          </w:p>
        </w:tc>
        <w:tc>
          <w:tcPr>
            <w:tcW w:type="dxa" w:w="2040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Missing-Sibling Robustness</w:t>
            </w:r>
          </w:p>
        </w:tc>
        <w:tc>
          <w:tcPr>
            <w:tcW w:type="dxa" w:w="2040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训练source group随机缺失0/25/50/75%</w:t>
            </w:r>
          </w:p>
        </w:tc>
        <w:tc>
          <w:tcPr>
            <w:tcW w:type="dxa" w:w="2040"/>
            <w:tcMar>
              <w:top w:w="50" w:type="dxa"/>
              <w:start w:w="55" w:type="dxa"/>
              <w:bottom w:w="50" w:type="dxa"/>
              <w:end w:w="55" w:type="dxa"/>
            </w:tcMar>
            <w:shd w:fill="EAF2F8"/>
          </w:tcPr>
          <w:p>
            <w:r>
              <w:rPr>
                <w:rFonts w:ascii="Times New Roman" w:hAnsi="Times New Roman" w:eastAsia="宋体"/>
                <w:sz w:val="16"/>
              </w:rPr>
              <w:t>P2</w:t>
            </w:r>
          </w:p>
        </w:tc>
        <w:tc>
          <w:tcPr>
            <w:tcW w:type="dxa" w:w="2040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Phase IV</w:t>
            </w:r>
          </w:p>
        </w:tc>
      </w:tr>
      <w:tr>
        <w:trPr>
          <w:cantSplit/>
        </w:trPr>
        <w:tc>
          <w:tcPr>
            <w:tcW w:type="dxa" w:w="2040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E17</w:t>
            </w:r>
          </w:p>
        </w:tc>
        <w:tc>
          <w:tcPr>
            <w:tcW w:type="dxa" w:w="2040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Noise Protocol Sensitivity</w:t>
            </w:r>
          </w:p>
        </w:tc>
        <w:tc>
          <w:tcPr>
            <w:tcW w:type="dxa" w:w="2040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验证Method B不会改变主要方法排序</w:t>
            </w:r>
          </w:p>
        </w:tc>
        <w:tc>
          <w:tcPr>
            <w:tcW w:type="dxa" w:w="2040"/>
            <w:tcMar>
              <w:top w:w="50" w:type="dxa"/>
              <w:start w:w="55" w:type="dxa"/>
              <w:bottom w:w="50" w:type="dxa"/>
              <w:end w:w="55" w:type="dxa"/>
            </w:tcMar>
            <w:shd w:fill="EAF2F8"/>
          </w:tcPr>
          <w:p>
            <w:r>
              <w:rPr>
                <w:rFonts w:ascii="Times New Roman" w:hAnsi="Times New Roman" w:eastAsia="宋体"/>
                <w:sz w:val="16"/>
              </w:rPr>
              <w:t>P2</w:t>
            </w:r>
          </w:p>
        </w:tc>
        <w:tc>
          <w:tcPr>
            <w:tcW w:type="dxa" w:w="2040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Phase IV</w:t>
            </w:r>
          </w:p>
        </w:tc>
      </w:tr>
      <w:tr>
        <w:trPr>
          <w:cantSplit/>
        </w:trPr>
        <w:tc>
          <w:tcPr>
            <w:tcW w:type="dxa" w:w="2040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E18</w:t>
            </w:r>
          </w:p>
        </w:tc>
        <w:tc>
          <w:tcPr>
            <w:tcW w:type="dxa" w:w="2040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Data Scale</w:t>
            </w:r>
          </w:p>
        </w:tc>
        <w:tc>
          <w:tcPr>
            <w:tcW w:type="dxa" w:w="2040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25/50/75/100% train sources，数据效率</w:t>
            </w:r>
          </w:p>
        </w:tc>
        <w:tc>
          <w:tcPr>
            <w:tcW w:type="dxa" w:w="2040"/>
            <w:tcMar>
              <w:top w:w="50" w:type="dxa"/>
              <w:start w:w="55" w:type="dxa"/>
              <w:bottom w:w="50" w:type="dxa"/>
              <w:end w:w="55" w:type="dxa"/>
            </w:tcMar>
            <w:shd w:fill="F2F4F7"/>
          </w:tcPr>
          <w:p>
            <w:r>
              <w:rPr>
                <w:rFonts w:ascii="Times New Roman" w:hAnsi="Times New Roman" w:eastAsia="宋体"/>
                <w:sz w:val="16"/>
              </w:rPr>
              <w:t>P3</w:t>
            </w:r>
          </w:p>
        </w:tc>
        <w:tc>
          <w:tcPr>
            <w:tcW w:type="dxa" w:w="2040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Phase IV</w:t>
            </w:r>
          </w:p>
        </w:tc>
      </w:tr>
      <w:tr>
        <w:trPr>
          <w:cantSplit/>
        </w:trPr>
        <w:tc>
          <w:tcPr>
            <w:tcW w:type="dxa" w:w="2040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E19</w:t>
            </w:r>
          </w:p>
        </w:tc>
        <w:tc>
          <w:tcPr>
            <w:tcW w:type="dxa" w:w="2040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Downstream Inspection</w:t>
            </w:r>
          </w:p>
        </w:tc>
        <w:tc>
          <w:tcPr>
            <w:tcW w:type="dxa" w:w="2040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Frozen Inspector、Macro-F1、defect flip</w:t>
            </w:r>
          </w:p>
        </w:tc>
        <w:tc>
          <w:tcPr>
            <w:tcW w:type="dxa" w:w="2040"/>
            <w:tcMar>
              <w:top w:w="50" w:type="dxa"/>
              <w:start w:w="55" w:type="dxa"/>
              <w:bottom w:w="50" w:type="dxa"/>
              <w:end w:w="55" w:type="dxa"/>
            </w:tcMar>
            <w:shd w:fill="FFF2E5"/>
          </w:tcPr>
          <w:p>
            <w:r>
              <w:rPr>
                <w:rFonts w:ascii="Times New Roman" w:hAnsi="Times New Roman" w:eastAsia="宋体"/>
                <w:sz w:val="16"/>
              </w:rPr>
              <w:t>P1</w:t>
            </w:r>
          </w:p>
        </w:tc>
        <w:tc>
          <w:tcPr>
            <w:tcW w:type="dxa" w:w="2040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Phase V</w:t>
            </w:r>
          </w:p>
        </w:tc>
      </w:tr>
      <w:tr>
        <w:trPr>
          <w:cantSplit/>
        </w:trPr>
        <w:tc>
          <w:tcPr>
            <w:tcW w:type="dxa" w:w="2040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E20</w:t>
            </w:r>
          </w:p>
        </w:tc>
        <w:tc>
          <w:tcPr>
            <w:tcW w:type="dxa" w:w="2040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统计与Failure Cases</w:t>
            </w:r>
          </w:p>
        </w:tc>
        <w:tc>
          <w:tcPr>
            <w:tcW w:type="dxa" w:w="2040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3 seeds、source-cluster bootstrap、定性失败案例</w:t>
            </w:r>
          </w:p>
        </w:tc>
        <w:tc>
          <w:tcPr>
            <w:tcW w:type="dxa" w:w="2040"/>
            <w:tcMar>
              <w:top w:w="50" w:type="dxa"/>
              <w:start w:w="55" w:type="dxa"/>
              <w:bottom w:w="50" w:type="dxa"/>
              <w:end w:w="55" w:type="dxa"/>
            </w:tcMar>
            <w:shd w:fill="FDECEC"/>
          </w:tcPr>
          <w:p>
            <w:r>
              <w:rPr>
                <w:rFonts w:ascii="Times New Roman" w:hAnsi="Times New Roman" w:eastAsia="宋体"/>
                <w:sz w:val="16"/>
              </w:rPr>
              <w:t>P0/P1</w:t>
            </w:r>
          </w:p>
        </w:tc>
        <w:tc>
          <w:tcPr>
            <w:tcW w:type="dxa" w:w="2040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Phase V</w:t>
            </w:r>
          </w:p>
        </w:tc>
      </w:tr>
    </w:tbl>
    <w:p>
      <w:pPr>
        <w:pStyle w:val="Heading1"/>
      </w:pPr>
      <w:r>
        <w:t>4.严格执行顺序与Gate</w:t>
      </w:r>
    </w:p>
    <w:p>
      <w:r>
        <w:rPr>
          <w:rFonts w:ascii="Times New Roman" w:hAnsi="Times New Roman" w:eastAsia="黑体"/>
          <w:b/>
          <w:color w:val="2F6B4F"/>
          <w:sz w:val="24"/>
        </w:rPr>
        <w:t>Phase 0｜实验基础设施冻结</w:t>
      </w:r>
      <w:r>
        <w:rPr>
          <w:rFonts w:ascii="Times New Roman" w:hAnsi="Times New Roman" w:eastAsia="宋体"/>
          <w:color w:val="667085"/>
          <w:sz w:val="20"/>
        </w:rPr>
        <w:t>（E0）</w:t>
      </w:r>
    </w:p>
    <w:p>
      <w:pPr>
        <w:spacing w:after="60" w:line="276" w:lineRule="auto"/>
      </w:pPr>
      <w:r>
        <w:rPr>
          <w:rFonts w:ascii="Times New Roman" w:hAnsi="Times New Roman" w:eastAsia="宋体"/>
          <w:color w:val="263238"/>
          <w:sz w:val="21"/>
        </w:rPr>
        <w:t>先把数据、split、noise Method B、评价器、缓存、resume、fingerprint全部冻结。</w:t>
      </w:r>
    </w:p>
    <w:p>
      <w:pPr>
        <w:spacing w:after="160"/>
        <w:ind w:left="283"/>
      </w:pPr>
      <w:r>
        <w:rPr>
          <w:rFonts w:ascii="Times New Roman" w:hAnsi="Times New Roman" w:eastAsia="宋体"/>
          <w:b/>
          <w:color w:val="263238"/>
          <w:sz w:val="20"/>
        </w:rPr>
        <w:t>Gate G0：无source leakage；同一pair所有方法预处理一致；PSNR/SSIM/LPIPS与verifier评估可复现。</w:t>
      </w:r>
    </w:p>
    <w:p>
      <w:r>
        <w:rPr>
          <w:rFonts w:ascii="Times New Roman" w:hAnsi="Times New Roman" w:eastAsia="黑体"/>
          <w:b/>
          <w:color w:val="2F6B4F"/>
          <w:sz w:val="24"/>
        </w:rPr>
        <w:t>Phase I｜先证明“方法成立”</w:t>
      </w:r>
      <w:r>
        <w:rPr>
          <w:rFonts w:ascii="Times New Roman" w:hAnsi="Times New Roman" w:eastAsia="宋体"/>
          <w:color w:val="667085"/>
          <w:sz w:val="20"/>
        </w:rPr>
        <w:t>（E1、E2、E4、E5）</w:t>
      </w:r>
    </w:p>
    <w:p>
      <w:pPr>
        <w:spacing w:after="60" w:line="276" w:lineRule="auto"/>
      </w:pPr>
      <w:r>
        <w:rPr>
          <w:rFonts w:ascii="Times New Roman" w:hAnsi="Times New Roman" w:eastAsia="宋体"/>
          <w:color w:val="263238"/>
          <w:sz w:val="21"/>
        </w:rPr>
        <w:t>只跑Reconstruction baseline、Ours、Restormer、PromptIR、GRL、MFNET的首轮结果，不开大规模消融。</w:t>
      </w:r>
    </w:p>
    <w:p>
      <w:pPr>
        <w:spacing w:after="160"/>
        <w:ind w:left="283"/>
      </w:pPr>
      <w:r>
        <w:rPr>
          <w:rFonts w:ascii="Times New Roman" w:hAnsi="Times New Roman" w:eastAsia="宋体"/>
        </w:rPr>
        <w:t>Gate G1：Ours相对reconstruction baseline显著改善source fidelity，且恢复质量没有明显崩塌；Verifier-B仍能复现方向。</w:t>
      </w:r>
    </w:p>
    <w:p>
      <w:r>
        <w:rPr>
          <w:rFonts w:ascii="Times New Roman" w:hAnsi="Times New Roman" w:eastAsia="黑体"/>
          <w:b/>
          <w:color w:val="2F6B4F"/>
          <w:sz w:val="24"/>
        </w:rPr>
        <w:t>Phase II｜建立外部竞争力</w:t>
      </w:r>
      <w:r>
        <w:rPr>
          <w:rFonts w:ascii="Times New Roman" w:hAnsi="Times New Roman" w:eastAsia="宋体"/>
          <w:color w:val="667085"/>
          <w:sz w:val="20"/>
        </w:rPr>
        <w:t>（E3、E6）</w:t>
      </w:r>
    </w:p>
    <w:p>
      <w:pPr>
        <w:spacing w:after="60" w:line="276" w:lineRule="auto"/>
      </w:pPr>
      <w:r>
        <w:rPr>
          <w:rFonts w:ascii="Times New Roman" w:hAnsi="Times New Roman" w:eastAsia="宋体"/>
          <w:color w:val="263238"/>
          <w:sz w:val="21"/>
        </w:rPr>
        <w:t>扩完整主表和效率表，加入AirNet、TransWeather、DFPIR、R2R等。</w:t>
      </w:r>
    </w:p>
    <w:p>
      <w:pPr>
        <w:spacing w:after="160"/>
        <w:ind w:left="283"/>
      </w:pPr>
      <w:r>
        <w:rPr>
          <w:rFonts w:ascii="Times New Roman" w:hAnsi="Times New Roman" w:eastAsia="宋体"/>
          <w:b/>
          <w:color w:val="263238"/>
          <w:sz w:val="20"/>
        </w:rPr>
        <w:t>Gate G2：Ours在恢复质量、source fidelity、效率三者中至少形成清晰Pareto优势，不要求所有PSNR逐项第一。</w:t>
      </w:r>
    </w:p>
    <w:p>
      <w:r>
        <w:rPr>
          <w:rFonts w:ascii="Times New Roman" w:hAnsi="Times New Roman" w:eastAsia="黑体"/>
          <w:b/>
          <w:color w:val="2F6B4F"/>
          <w:sz w:val="24"/>
        </w:rPr>
        <w:t>Phase III｜解释“为什么有效”</w:t>
      </w:r>
      <w:r>
        <w:rPr>
          <w:rFonts w:ascii="Times New Roman" w:hAnsi="Times New Roman" w:eastAsia="宋体"/>
          <w:color w:val="667085"/>
          <w:sz w:val="20"/>
        </w:rPr>
        <w:t>（E7-E12）</w:t>
      </w:r>
    </w:p>
    <w:p>
      <w:pPr>
        <w:spacing w:after="60" w:line="276" w:lineRule="auto"/>
      </w:pPr>
      <w:r>
        <w:rPr>
          <w:rFonts w:ascii="Times New Roman" w:hAnsi="Times New Roman" w:eastAsia="宋体"/>
          <w:color w:val="263238"/>
          <w:sz w:val="21"/>
        </w:rPr>
        <w:t>集中做方法机制：消融、任务扩展、reliability、sibling数量、within/between-source、梯度冲突。</w:t>
      </w:r>
    </w:p>
    <w:p>
      <w:pPr>
        <w:spacing w:after="160"/>
        <w:ind w:left="283"/>
      </w:pPr>
      <w:r>
        <w:rPr>
          <w:rFonts w:ascii="Times New Roman" w:hAnsi="Times New Roman" w:eastAsia="宋体"/>
          <w:b/>
          <w:color w:val="263238"/>
          <w:sz w:val="20"/>
        </w:rPr>
        <w:t>Gate G3：性能提升能被核心机制解释，排除仅靠参数量、verifier过拟合或简单一致性正则。</w:t>
      </w:r>
    </w:p>
    <w:p>
      <w:r>
        <w:rPr>
          <w:rFonts w:ascii="Times New Roman" w:hAnsi="Times New Roman" w:eastAsia="黑体"/>
          <w:b/>
          <w:color w:val="2F6B4F"/>
          <w:sz w:val="24"/>
        </w:rPr>
        <w:t>Phase IV｜攻击模型</w:t>
      </w:r>
      <w:r>
        <w:rPr>
          <w:rFonts w:ascii="Times New Roman" w:hAnsi="Times New Roman" w:eastAsia="宋体"/>
          <w:color w:val="667085"/>
          <w:sz w:val="20"/>
        </w:rPr>
        <w:t>（E13-E18）</w:t>
      </w:r>
    </w:p>
    <w:p>
      <w:pPr>
        <w:spacing w:after="60" w:line="276" w:lineRule="auto"/>
      </w:pPr>
      <w:r>
        <w:rPr>
          <w:rFonts w:ascii="Times New Roman" w:hAnsi="Times New Roman" w:eastAsia="宋体"/>
          <w:color w:val="263238"/>
          <w:sz w:val="21"/>
        </w:rPr>
        <w:t>Severity、未见退化、跨component、缺失sibling、noise协议、可选data scale。</w:t>
      </w:r>
    </w:p>
    <w:p>
      <w:pPr>
        <w:spacing w:after="160"/>
        <w:ind w:left="283"/>
      </w:pPr>
      <w:r>
        <w:rPr>
          <w:rFonts w:ascii="Times New Roman" w:hAnsi="Times New Roman" w:eastAsia="宋体"/>
          <w:b/>
          <w:color w:val="263238"/>
          <w:sz w:val="20"/>
        </w:rPr>
        <w:t>Gate G4：核心优势在困难条件和domain shift下仍保持，明确失败边界。</w:t>
      </w:r>
    </w:p>
    <w:p>
      <w:r>
        <w:rPr>
          <w:rFonts w:ascii="Times New Roman" w:hAnsi="Times New Roman" w:eastAsia="黑体"/>
          <w:b/>
          <w:color w:val="2F6B4F"/>
          <w:sz w:val="24"/>
        </w:rPr>
        <w:t>Phase V｜应用、统计与论文收口</w:t>
      </w:r>
      <w:r>
        <w:rPr>
          <w:rFonts w:ascii="Times New Roman" w:hAnsi="Times New Roman" w:eastAsia="宋体"/>
          <w:color w:val="667085"/>
          <w:sz w:val="20"/>
        </w:rPr>
        <w:t>（E19-E20）</w:t>
      </w:r>
    </w:p>
    <w:p>
      <w:pPr>
        <w:spacing w:after="60" w:line="276" w:lineRule="auto"/>
      </w:pPr>
      <w:r>
        <w:rPr>
          <w:rFonts w:ascii="Times New Roman" w:hAnsi="Times New Roman" w:eastAsia="宋体"/>
          <w:color w:val="263238"/>
          <w:sz w:val="21"/>
        </w:rPr>
        <w:t>下游巡检、3 seeds、cluster bootstrap、效率复测、定性与失败案例。</w:t>
      </w:r>
    </w:p>
    <w:p>
      <w:pPr>
        <w:spacing w:after="160"/>
        <w:ind w:left="283"/>
      </w:pPr>
      <w:r>
        <w:rPr>
          <w:rFonts w:ascii="Times New Roman" w:hAnsi="Times New Roman" w:eastAsia="宋体"/>
          <w:b/>
          <w:color w:val="263238"/>
          <w:sz w:val="20"/>
        </w:rPr>
        <w:t>Gate G5：关键结论跨seed稳定，source级置信区间支持主claim，可直接生成论文表图。</w:t>
      </w:r>
    </w:p>
    <w:p>
      <w:pPr>
        <w:pStyle w:val="Heading1"/>
      </w:pPr>
      <w:r>
        <w:t>5.P0/P1核心实验详细设计</w:t>
      </w:r>
    </w:p>
    <w:p>
      <w:pPr>
        <w:pStyle w:val="Heading2"/>
      </w:pPr>
      <w:r>
        <w:t>5.1 E1 核心模型可行性（P0）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宋体"/>
          <w:color w:val="263238"/>
          <w:sz w:val="20"/>
        </w:rPr>
        <w:t>模型：dim48 reconstruction baseline、当前Ours/RSD。第一轮只用seed13。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宋体"/>
          <w:color w:val="263238"/>
          <w:sz w:val="20"/>
        </w:rPr>
        <w:t>指标：7D平均PSNR/SSIM/LPIPS，以及condition-matched Top-1、EER、Source Margin。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宋体"/>
          <w:color w:val="263238"/>
          <w:sz w:val="20"/>
        </w:rPr>
        <w:t>目标：先确认RSD带来的source fidelity提升不是以严重牺牲像素恢复为代价。若失败，先改模型，不继续跑完整baseline。</w:t>
      </w:r>
    </w:p>
    <w:p>
      <w:pPr>
        <w:pStyle w:val="Heading2"/>
      </w:pPr>
      <w:r>
        <w:t>5.2 E3 7退化AIO主表（P1）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宋体"/>
          <w:color w:val="263238"/>
          <w:sz w:val="20"/>
        </w:rPr>
        <w:t>主表建议：Restormer、GRL、AirNet、TransWeather、PromptIR、DFPIR、MFNET、R2R、Ours；SwinIR/Perceive-IR可放补充。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宋体"/>
          <w:color w:val="263238"/>
          <w:sz w:val="20"/>
        </w:rPr>
        <w:t>逐退化报告PSNR/SSIM/LPIPS，并给Macro Average；所有方法共享同一split、Method B、crop=256、evaluation pipeline。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宋体"/>
          <w:color w:val="263238"/>
          <w:sz w:val="20"/>
        </w:rPr>
        <w:t>单任务专家DehazeFormer/DRSformer/LMQFormer单独放天气Specialist表，不与7D统一模型混在一张公平主表中。</w:t>
      </w:r>
    </w:p>
    <w:p>
      <w:pPr>
        <w:pStyle w:val="Heading2"/>
      </w:pPr>
      <w:r>
        <w:t>5.3 E4 Source Fidelity（P0/P1）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宋体"/>
        </w:rPr>
        <w:t>All-source Top-1/Top-5 retrieval：查询为restored image，gallery=test clean source。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宋体"/>
          <w:color w:val="263238"/>
          <w:sz w:val="20"/>
        </w:rPr>
        <w:t>Condition-matched Top-1作为主指标：negative/gallery限制在同good/rust/bird-nest condition，避免模型靠condition类别取巧。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宋体"/>
          <w:color w:val="263238"/>
          <w:sz w:val="20"/>
        </w:rPr>
        <w:t>Verification：ROC-AUC、EER；negative优先同condition不同source。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宋体"/>
          <w:color w:val="263238"/>
          <w:sz w:val="20"/>
        </w:rPr>
        <w:t>Source Margin：最近错误source距离减去真实source距离，越大越好。</w:t>
      </w:r>
    </w:p>
    <w:p>
      <w:pPr>
        <w:pStyle w:val="Heading2"/>
      </w:pPr>
      <w:r>
        <w:t>5.4 E5 Independent Verifier（P0，新增关键项）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宋体"/>
          <w:color w:val="263238"/>
          <w:sz w:val="20"/>
        </w:rPr>
        <w:t>如果训练中的RSD使用Verifier-A，则主论文source fidelity至少再由独立Verifier-B复评一次。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宋体"/>
          <w:color w:val="263238"/>
          <w:sz w:val="20"/>
        </w:rPr>
        <w:t>建议Verifier-B更换随机种子或更换架构/训练划分；Verifier-B只用于评价，不参与Ours训练。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宋体"/>
          <w:color w:val="263238"/>
          <w:sz w:val="20"/>
        </w:rPr>
        <w:t>目的：排除“模型针对训练verifier优化，评价又用同一verifier”造成的循环论证。这一实验对source-faithful论文非常重要。</w:t>
      </w:r>
    </w:p>
    <w:p>
      <w:pPr>
        <w:pStyle w:val="Heading2"/>
      </w:pPr>
      <w:r>
        <w:t>5.5 E6 Efficiency（P1）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宋体"/>
          <w:color w:val="263238"/>
          <w:sz w:val="20"/>
        </w:rPr>
        <w:t>同一输入尺寸重新测Params、MACs/FLOPs、单图/512 tile latency、Peak VRAM。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宋体"/>
          <w:color w:val="263238"/>
          <w:sz w:val="20"/>
        </w:rPr>
        <w:t>额外区分training-only overhead和inference overhead：Sibling graph、prototype、verifier监督若只在训练存在，必须明确展示推理阶段不需要siblings。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宋体"/>
          <w:color w:val="263238"/>
          <w:sz w:val="20"/>
        </w:rPr>
        <w:t>优先对比GRL、Restormer、PromptIR、MFNET、R2R和Ours。</w:t>
      </w:r>
    </w:p>
    <w:p>
      <w:pPr>
        <w:pStyle w:val="Heading2"/>
      </w:pPr>
      <w:r>
        <w:t>5.6 E7 核心消融（P0/P1）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宋体"/>
          <w:color w:val="263238"/>
          <w:sz w:val="20"/>
        </w:rPr>
        <w:t>结构/容量：dim32 vs dim48。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宋体"/>
          <w:color w:val="263238"/>
          <w:sz w:val="20"/>
        </w:rPr>
        <w:t>监督链：reconstruction only → equal sibling consistency → reliability-weighted → RSD。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宋体"/>
          <w:color w:val="263238"/>
          <w:sz w:val="20"/>
        </w:rPr>
        <w:t>一致性位置：pixel/output consistency vs verifier-space consistency，验证避免平滑的必要性。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宋体"/>
          <w:color w:val="263238"/>
          <w:sz w:val="20"/>
        </w:rPr>
        <w:t>Reliability：uniform vs confidence/centrality weighted；prototype是否stop-gradient。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宋体"/>
          <w:color w:val="263238"/>
          <w:sz w:val="20"/>
        </w:rPr>
        <w:t>Negative：random negative vs same-condition hard negative。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宋体"/>
          <w:color w:val="263238"/>
          <w:sz w:val="20"/>
        </w:rPr>
        <w:t>历史anchor路线可作为补充：No Anchor、Global Anchor、MSA、RSD，展示为什么最终选择RSD。</w:t>
      </w:r>
    </w:p>
    <w:p>
      <w:pPr>
        <w:pStyle w:val="Heading2"/>
      </w:pPr>
      <w:r>
        <w:t>5.7 E8 Task Scaling 1D/3D/5D/7D（P1）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宋体"/>
          <w:color w:val="263238"/>
          <w:sz w:val="20"/>
        </w:rPr>
        <w:t>推荐任务集合：1D=haze；3D=haze/rain/snow；5D再加blur/lowlight；7D全部。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宋体"/>
          <w:color w:val="263238"/>
          <w:sz w:val="20"/>
        </w:rPr>
        <w:t>模型控制：reconstruction baseline、PromptIR、Ours为主；MFNET可作为天气3D辅助对照。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宋体"/>
          <w:color w:val="263238"/>
          <w:sz w:val="20"/>
        </w:rPr>
        <w:t>画两条关键曲线：任务数量→平均PSNR；任务数量→EER/Source Margin。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宋体"/>
          <w:color w:val="263238"/>
          <w:sz w:val="20"/>
        </w:rPr>
        <w:t>目标：验证任务越多、跨退化干扰越强时，same-source sibling supervision是否让性能下降更慢。</w:t>
      </w:r>
    </w:p>
    <w:p>
      <w:pPr>
        <w:pStyle w:val="Heading2"/>
      </w:pPr>
      <w:r>
        <w:t>5.8 E9 Reliability有效性（P1）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宋体"/>
          <w:color w:val="263238"/>
          <w:sz w:val="20"/>
        </w:rPr>
        <w:t>对每个sibling记录reliability score，并与clean similarity、恢复PSNR/LPIPS、severity做相关分析。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宋体"/>
          <w:color w:val="263238"/>
          <w:sz w:val="20"/>
        </w:rPr>
        <w:t>报告Spearman相关系数和分箱曲线；再展示hard degradation是否更常获得低reliability。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宋体"/>
          <w:color w:val="263238"/>
          <w:sz w:val="20"/>
        </w:rPr>
        <w:t>如果reliability与质量/身份相似性无关，需要重新定义权重，不能只把它当作黑盒门控。</w:t>
      </w:r>
    </w:p>
    <w:p>
      <w:pPr>
        <w:pStyle w:val="Heading2"/>
      </w:pPr>
      <w:r>
        <w:t>5.9 E10 Sibling Availability（P1）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宋体"/>
          <w:color w:val="263238"/>
          <w:sz w:val="20"/>
        </w:rPr>
        <w:t>训练时每个source只提供K=2、3、5、7个degraded siblings；保持总训练step与其他设置一致。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宋体"/>
          <w:color w:val="263238"/>
          <w:sz w:val="20"/>
        </w:rPr>
        <w:t>指标：PSNR、LPIPS、EER、Source Margin、训练显存。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宋体"/>
          <w:color w:val="263238"/>
          <w:sz w:val="20"/>
        </w:rPr>
        <w:t>目标：证明提升确实随cross-degradation证据增加而变化，并回答真实数据中是否必须拥有完整7 siblings。</w:t>
      </w:r>
    </w:p>
    <w:p>
      <w:pPr>
        <w:pStyle w:val="Heading2"/>
      </w:pPr>
      <w:r>
        <w:t>5.10 E11 Within/Between-source一致性（P1）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宋体"/>
          <w:color w:val="263238"/>
          <w:sz w:val="20"/>
        </w:rPr>
        <w:t>Within-source：同一source不同退化恢复结果在Verifier-B空间的平均方差/距离。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宋体"/>
          <w:color w:val="263238"/>
          <w:sz w:val="20"/>
        </w:rPr>
        <w:t>Between-source：不同source之间的最近邻距离或margin。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宋体"/>
          <w:color w:val="263238"/>
          <w:sz w:val="20"/>
        </w:rPr>
        <w:t>理想结果是within-source距离下降，同时between-source separation不塌缩；这比单独“sibling output convergence”更完整。</w:t>
      </w:r>
    </w:p>
    <w:p>
      <w:pPr>
        <w:pStyle w:val="Heading1"/>
      </w:pPr>
      <w:r>
        <w:t>6.鲁棒性、泛化与应用实验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  <w:cantSplit/>
        </w:trPr>
        <w:tc>
          <w:tcPr>
            <w:tcW w:type="dxa" w:w="2550"/>
            <w:shd w:fill="2F6B4F"/>
          </w:tcPr>
          <w:p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实验</w:t>
            </w:r>
          </w:p>
        </w:tc>
        <w:tc>
          <w:tcPr>
            <w:tcW w:type="dxa" w:w="2550"/>
            <w:shd w:fill="2F6B4F"/>
          </w:tcPr>
          <w:p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2550"/>
            <w:shd w:fill="2F6B4F"/>
          </w:tcPr>
          <w:p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设计</w:t>
            </w:r>
          </w:p>
        </w:tc>
        <w:tc>
          <w:tcPr>
            <w:tcW w:type="dxa" w:w="2550"/>
            <w:shd w:fill="2F6B4F"/>
          </w:tcPr>
          <w:p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为什么值得做</w:t>
            </w:r>
          </w:p>
        </w:tc>
      </w:tr>
      <w:tr>
        <w:trPr>
          <w:cantSplit/>
        </w:trPr>
        <w:tc>
          <w:tcPr>
            <w:tcW w:type="dxa" w:w="2550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E13 Severity Robustness</w:t>
            </w:r>
          </w:p>
        </w:tc>
        <w:tc>
          <w:tcPr>
            <w:tcW w:type="dxa" w:w="2550"/>
            <w:tcMar>
              <w:top w:w="50" w:type="dxa"/>
              <w:start w:w="55" w:type="dxa"/>
              <w:bottom w:w="50" w:type="dxa"/>
              <w:end w:w="55" w:type="dxa"/>
            </w:tcMar>
            <w:shd w:fill="FFF2E5"/>
          </w:tcPr>
          <w:p>
            <w:r>
              <w:rPr>
                <w:rFonts w:ascii="Times New Roman" w:hAnsi="Times New Roman" w:eastAsia="宋体"/>
                <w:sz w:val="16"/>
              </w:rPr>
              <w:t>P1</w:t>
            </w:r>
          </w:p>
        </w:tc>
        <w:tc>
          <w:tcPr>
            <w:tcW w:type="dxa" w:w="2550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按mild/medium/severe分别报告PSNR、LPIPS、EER、Source Margin；看性能恶化斜率，而不只看绝对值。</w:t>
            </w:r>
          </w:p>
        </w:tc>
        <w:tc>
          <w:tcPr>
            <w:tcW w:type="dxa" w:w="2550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PLAMD原生支持强度变化，能直接体现困难退化下的稳定性。</w:t>
            </w:r>
          </w:p>
        </w:tc>
      </w:tr>
      <w:tr>
        <w:trPr>
          <w:cantSplit/>
        </w:trPr>
        <w:tc>
          <w:tcPr>
            <w:tcW w:type="dxa" w:w="2550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E14 Leave-One-Degradation-Out</w:t>
            </w:r>
          </w:p>
        </w:tc>
        <w:tc>
          <w:tcPr>
            <w:tcW w:type="dxa" w:w="2550"/>
            <w:tcMar>
              <w:top w:w="50" w:type="dxa"/>
              <w:start w:w="55" w:type="dxa"/>
              <w:bottom w:w="50" w:type="dxa"/>
              <w:end w:w="55" w:type="dxa"/>
            </w:tcMar>
            <w:shd w:fill="FFF2E5"/>
          </w:tcPr>
          <w:p>
            <w:r>
              <w:rPr>
                <w:rFonts w:ascii="Times New Roman" w:hAnsi="Times New Roman" w:eastAsia="宋体"/>
                <w:sz w:val="16"/>
              </w:rPr>
              <w:t>P1</w:t>
            </w:r>
          </w:p>
        </w:tc>
        <w:tc>
          <w:tcPr>
            <w:tcW w:type="dxa" w:w="2550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优先做haze、noise、blur三类held-out；Restormer/PromptIR/Ours。资源足够再扩7-fold。</w:t>
            </w:r>
          </w:p>
        </w:tc>
        <w:tc>
          <w:tcPr>
            <w:tcW w:type="dxa" w:w="2550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验证未见退化泛化，直接支撑“跨退化表示”claim。</w:t>
            </w:r>
          </w:p>
        </w:tc>
      </w:tr>
      <w:tr>
        <w:trPr>
          <w:cantSplit/>
        </w:trPr>
        <w:tc>
          <w:tcPr>
            <w:tcW w:type="dxa" w:w="2550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E15 Cross-component OOD</w:t>
            </w:r>
          </w:p>
        </w:tc>
        <w:tc>
          <w:tcPr>
            <w:tcW w:type="dxa" w:w="2550"/>
            <w:tcMar>
              <w:top w:w="50" w:type="dxa"/>
              <w:start w:w="55" w:type="dxa"/>
              <w:bottom w:w="50" w:type="dxa"/>
              <w:end w:w="55" w:type="dxa"/>
            </w:tcMar>
            <w:shd w:fill="FFF2E5"/>
          </w:tcPr>
          <w:p>
            <w:r>
              <w:rPr>
                <w:rFonts w:ascii="Times New Roman" w:hAnsi="Times New Roman" w:eastAsia="宋体"/>
                <w:sz w:val="16"/>
              </w:rPr>
              <w:t>P1</w:t>
            </w:r>
          </w:p>
        </w:tc>
        <w:tc>
          <w:tcPr>
            <w:tcW w:type="dxa" w:w="2550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训练只用vari-grip；测试damper-stockbridge、yoke-suspension、polymer-insulator、glass-insulator，每类建议固定300 source。</w:t>
            </w:r>
          </w:p>
        </w:tc>
        <w:tc>
          <w:tcPr>
            <w:tcW w:type="dxa" w:w="2550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利用PLAMD多component优势，证明不只记住vari-grip外观。</w:t>
            </w:r>
          </w:p>
        </w:tc>
      </w:tr>
      <w:tr>
        <w:trPr>
          <w:cantSplit/>
        </w:trPr>
        <w:tc>
          <w:tcPr>
            <w:tcW w:type="dxa" w:w="2550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E16 Missing-Sibling Robustness</w:t>
            </w:r>
          </w:p>
        </w:tc>
        <w:tc>
          <w:tcPr>
            <w:tcW w:type="dxa" w:w="2550"/>
            <w:tcMar>
              <w:top w:w="50" w:type="dxa"/>
              <w:start w:w="55" w:type="dxa"/>
              <w:bottom w:w="50" w:type="dxa"/>
              <w:end w:w="55" w:type="dxa"/>
            </w:tcMar>
            <w:shd w:fill="EAF2F8"/>
          </w:tcPr>
          <w:p>
            <w:r>
              <w:rPr>
                <w:rFonts w:ascii="Times New Roman" w:hAnsi="Times New Roman" w:eastAsia="宋体"/>
                <w:sz w:val="16"/>
              </w:rPr>
              <w:t>P2</w:t>
            </w:r>
          </w:p>
        </w:tc>
        <w:tc>
          <w:tcPr>
            <w:tcW w:type="dxa" w:w="2550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训练source group随机缺失0/25/50/75%；测试仍为single-image inference。验证group不完整时机制是否稳定。</w:t>
            </w:r>
          </w:p>
        </w:tc>
        <w:tc>
          <w:tcPr>
            <w:tcW w:type="dxa" w:w="2550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方法特异性强，回答实际group不完整的问题。</w:t>
            </w:r>
          </w:p>
        </w:tc>
      </w:tr>
      <w:tr>
        <w:trPr>
          <w:cantSplit/>
        </w:trPr>
        <w:tc>
          <w:tcPr>
            <w:tcW w:type="dxa" w:w="2550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E17 Noise Protocol Sensitivity</w:t>
            </w:r>
          </w:p>
        </w:tc>
        <w:tc>
          <w:tcPr>
            <w:tcW w:type="dxa" w:w="2550"/>
            <w:tcMar>
              <w:top w:w="50" w:type="dxa"/>
              <w:start w:w="55" w:type="dxa"/>
              <w:bottom w:w="50" w:type="dxa"/>
              <w:end w:w="55" w:type="dxa"/>
            </w:tcMar>
            <w:shd w:fill="EAF2F8"/>
          </w:tcPr>
          <w:p>
            <w:r>
              <w:rPr>
                <w:rFonts w:ascii="Times New Roman" w:hAnsi="Times New Roman" w:eastAsia="宋体"/>
                <w:sz w:val="16"/>
              </w:rPr>
              <w:t>P2</w:t>
            </w:r>
          </w:p>
        </w:tc>
        <w:tc>
          <w:tcPr>
            <w:tcW w:type="dxa" w:w="2550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在test noise中比较All+Method B、native/proportional subset等，重点检查方法排序是否稳定，不把该实验写成新的数据主线。</w:t>
            </w:r>
          </w:p>
        </w:tc>
        <w:tc>
          <w:tcPr>
            <w:tcW w:type="dxa" w:w="2550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降低Method B几何预处理被审稿人攻击的风险。</w:t>
            </w:r>
          </w:p>
        </w:tc>
      </w:tr>
      <w:tr>
        <w:trPr>
          <w:cantSplit/>
        </w:trPr>
        <w:tc>
          <w:tcPr>
            <w:tcW w:type="dxa" w:w="2550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E18 Data Scale</w:t>
            </w:r>
          </w:p>
        </w:tc>
        <w:tc>
          <w:tcPr>
            <w:tcW w:type="dxa" w:w="2550"/>
            <w:tcMar>
              <w:top w:w="50" w:type="dxa"/>
              <w:start w:w="55" w:type="dxa"/>
              <w:bottom w:w="50" w:type="dxa"/>
              <w:end w:w="55" w:type="dxa"/>
            </w:tcMar>
            <w:shd w:fill="F2F4F7"/>
          </w:tcPr>
          <w:p>
            <w:r>
              <w:rPr>
                <w:rFonts w:ascii="Times New Roman" w:hAnsi="Times New Roman" w:eastAsia="宋体"/>
                <w:sz w:val="16"/>
              </w:rPr>
              <w:t>P3</w:t>
            </w:r>
          </w:p>
        </w:tc>
        <w:tc>
          <w:tcPr>
            <w:tcW w:type="dxa" w:w="2550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用25/50/75/100%训练source比较reconstruction baseline与Ours，观察小数据时relational supervision是否更有优势。</w:t>
            </w:r>
          </w:p>
        </w:tc>
        <w:tc>
          <w:tcPr>
            <w:tcW w:type="dxa" w:w="2550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有利于讲专业数据少时的sample efficiency，但非主线。</w:t>
            </w:r>
          </w:p>
        </w:tc>
      </w:tr>
      <w:tr>
        <w:trPr>
          <w:cantSplit/>
        </w:trPr>
        <w:tc>
          <w:tcPr>
            <w:tcW w:type="dxa" w:w="2550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E19 Downstream Inspection</w:t>
            </w:r>
          </w:p>
        </w:tc>
        <w:tc>
          <w:tcPr>
            <w:tcW w:type="dxa" w:w="2550"/>
            <w:tcMar>
              <w:top w:w="50" w:type="dxa"/>
              <w:start w:w="55" w:type="dxa"/>
              <w:bottom w:w="50" w:type="dxa"/>
              <w:end w:w="55" w:type="dxa"/>
            </w:tcMar>
            <w:shd w:fill="FFF2E5"/>
          </w:tcPr>
          <w:p>
            <w:r>
              <w:rPr>
                <w:rFonts w:ascii="Times New Roman" w:hAnsi="Times New Roman" w:eastAsia="宋体"/>
                <w:sz w:val="16"/>
              </w:rPr>
              <w:t>P1</w:t>
            </w:r>
          </w:p>
        </w:tc>
        <w:tc>
          <w:tcPr>
            <w:tcW w:type="dxa" w:w="2550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Frozen Inspector只在clean train上训练；测试degraded/各恢复结果，报告Balanced Acc、Macro-F1、rust recall、bird-nest recall、D→G与G→D flip。</w:t>
            </w:r>
          </w:p>
        </w:tc>
        <w:tc>
          <w:tcPr>
            <w:tcW w:type="dxa" w:w="2550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直接对接电力巡检价值，也是PLAIR-AW实验逻辑的自然延伸。</w:t>
            </w:r>
          </w:p>
        </w:tc>
      </w:tr>
      <w:tr>
        <w:trPr>
          <w:cantSplit/>
        </w:trPr>
        <w:tc>
          <w:tcPr>
            <w:tcW w:type="dxa" w:w="2550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E20 Failure Cases</w:t>
            </w:r>
          </w:p>
        </w:tc>
        <w:tc>
          <w:tcPr>
            <w:tcW w:type="dxa" w:w="2550"/>
            <w:tcMar>
              <w:top w:w="50" w:type="dxa"/>
              <w:start w:w="55" w:type="dxa"/>
              <w:bottom w:w="50" w:type="dxa"/>
              <w:end w:w="55" w:type="dxa"/>
            </w:tcMar>
            <w:shd w:fill="FFF2E5"/>
          </w:tcPr>
          <w:p>
            <w:r>
              <w:rPr>
                <w:rFonts w:ascii="Times New Roman" w:hAnsi="Times New Roman" w:eastAsia="宋体"/>
                <w:sz w:val="16"/>
              </w:rPr>
              <w:t>P1</w:t>
            </w:r>
          </w:p>
        </w:tc>
        <w:tc>
          <w:tcPr>
            <w:tcW w:type="dxa" w:w="2550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固定展示严重退化、细小rust、bird-nest枝条、低纹理背景等失败样本；同时展示PSNR高但source fidelity低的反例。</w:t>
            </w:r>
          </w:p>
        </w:tc>
        <w:tc>
          <w:tcPr>
            <w:tcW w:type="dxa" w:w="2550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避免只报均值，明确方法边界并强化论文可信度。</w:t>
            </w:r>
          </w:p>
        </w:tc>
      </w:tr>
    </w:tbl>
    <w:p>
      <w:pPr>
        <w:pStyle w:val="Heading1"/>
      </w:pPr>
      <w:r>
        <w:t>7.控制计算量：每类实验该跑哪些模型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3400"/>
            <w:shd w:fill="2F6B4F"/>
          </w:tcPr>
          <w:p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3400"/>
            <w:shd w:fill="2F6B4F"/>
          </w:tcPr>
          <w:p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模型</w:t>
            </w:r>
          </w:p>
        </w:tc>
        <w:tc>
          <w:tcPr>
            <w:tcW w:type="dxa" w:w="3400"/>
            <w:shd w:fill="2F6B4F"/>
          </w:tcPr>
          <w:p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原则</w:t>
            </w:r>
          </w:p>
        </w:tc>
      </w:tr>
      <w:tr>
        <w:trPr>
          <w:cantSplit/>
        </w:trPr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宋体"/>
                <w:sz w:val="17"/>
              </w:rPr>
              <w:t>首轮模型方向</w:t>
            </w:r>
          </w:p>
        </w:tc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宋体"/>
                <w:sz w:val="17"/>
              </w:rPr>
              <w:t>Reconstruction baseline、Ours</w:t>
            </w:r>
          </w:p>
        </w:tc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宋体"/>
                <w:sz w:val="17"/>
              </w:rPr>
              <w:t>先看机制是否成立，不跑外部大表</w:t>
            </w:r>
          </w:p>
        </w:tc>
      </w:tr>
      <w:tr>
        <w:trPr>
          <w:cantSplit/>
        </w:trPr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宋体"/>
                <w:sz w:val="17"/>
              </w:rPr>
              <w:t>关键外部首轮</w:t>
            </w:r>
          </w:p>
        </w:tc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宋体"/>
                <w:sz w:val="17"/>
              </w:rPr>
              <w:t>Restormer、PromptIR、GRL、MFNET、Ours</w:t>
            </w:r>
          </w:p>
        </w:tc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宋体"/>
                <w:sz w:val="17"/>
              </w:rPr>
              <w:t>这5个覆盖强恢复/强AIO/参数匹配/直接领域方法</w:t>
            </w:r>
          </w:p>
        </w:tc>
      </w:tr>
      <w:tr>
        <w:trPr>
          <w:cantSplit/>
        </w:trPr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宋体"/>
                <w:sz w:val="17"/>
              </w:rPr>
              <w:t>7D正式主表</w:t>
            </w:r>
          </w:p>
        </w:tc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宋体"/>
                <w:sz w:val="17"/>
              </w:rPr>
              <w:t>Restormer、GRL、AirNet、TransWeather、PromptIR、DFPIR、MFNET、R2R、Ours</w:t>
            </w:r>
          </w:p>
        </w:tc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宋体"/>
                <w:sz w:val="17"/>
              </w:rPr>
              <w:t>1 seed先跑全；接近Ours的再补seed</w:t>
            </w:r>
          </w:p>
        </w:tc>
      </w:tr>
      <w:tr>
        <w:trPr>
          <w:cantSplit/>
        </w:trPr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宋体"/>
                <w:sz w:val="17"/>
              </w:rPr>
              <w:t>机制实验</w:t>
            </w:r>
          </w:p>
        </w:tc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宋体"/>
                <w:sz w:val="17"/>
              </w:rPr>
              <w:t>Reconstruction baseline、Ours及其ablation</w:t>
            </w:r>
          </w:p>
        </w:tc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宋体"/>
                <w:sz w:val="17"/>
              </w:rPr>
              <w:t>不要每个消融都跑全部baseline</w:t>
            </w:r>
          </w:p>
        </w:tc>
      </w:tr>
      <w:tr>
        <w:trPr>
          <w:cantSplit/>
        </w:trPr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宋体"/>
                <w:sz w:val="17"/>
              </w:rPr>
              <w:t>Task Scaling</w:t>
            </w:r>
          </w:p>
        </w:tc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宋体"/>
                <w:sz w:val="17"/>
              </w:rPr>
              <w:t>Reconstruction baseline、PromptIR、Ours；MFNET仅天气子集可选</w:t>
            </w:r>
          </w:p>
        </w:tc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宋体"/>
                <w:sz w:val="17"/>
              </w:rPr>
              <w:t>足够证明任务数量效应</w:t>
            </w:r>
          </w:p>
        </w:tc>
      </w:tr>
      <w:tr>
        <w:trPr>
          <w:cantSplit/>
        </w:trPr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宋体"/>
                <w:sz w:val="17"/>
              </w:rPr>
              <w:t>Severity</w:t>
            </w:r>
          </w:p>
        </w:tc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宋体"/>
                <w:sz w:val="17"/>
              </w:rPr>
              <w:t>Restormer、PromptIR、MFNET、Ours</w:t>
            </w:r>
          </w:p>
        </w:tc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宋体"/>
                <w:sz w:val="17"/>
              </w:rPr>
              <w:t>强对手+领域对手</w:t>
            </w:r>
          </w:p>
        </w:tc>
      </w:tr>
      <w:tr>
        <w:trPr>
          <w:cantSplit/>
        </w:trPr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宋体"/>
                <w:sz w:val="17"/>
              </w:rPr>
              <w:t>LODO</w:t>
            </w:r>
          </w:p>
        </w:tc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宋体"/>
                <w:sz w:val="17"/>
              </w:rPr>
              <w:t>Restormer、PromptIR、Ours</w:t>
            </w:r>
          </w:p>
        </w:tc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宋体"/>
                <w:sz w:val="17"/>
              </w:rPr>
              <w:t>控制成本</w:t>
            </w:r>
          </w:p>
        </w:tc>
      </w:tr>
      <w:tr>
        <w:trPr>
          <w:cantSplit/>
        </w:trPr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宋体"/>
                <w:sz w:val="17"/>
              </w:rPr>
              <w:t>Cross-component OOD</w:t>
            </w:r>
          </w:p>
        </w:tc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宋体"/>
                <w:sz w:val="17"/>
              </w:rPr>
              <w:t>GRL、Restormer、PromptIR、MFNET、Ours</w:t>
            </w:r>
          </w:p>
        </w:tc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宋体"/>
                <w:sz w:val="17"/>
              </w:rPr>
              <w:t>兼顾轻量、强AIO和领域模型</w:t>
            </w:r>
          </w:p>
        </w:tc>
      </w:tr>
      <w:tr>
        <w:trPr>
          <w:cantSplit/>
        </w:trPr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宋体"/>
                <w:sz w:val="17"/>
              </w:rPr>
              <w:t>Downstream</w:t>
            </w:r>
          </w:p>
        </w:tc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宋体"/>
                <w:sz w:val="17"/>
              </w:rPr>
              <w:t>Degraded、Restormer、PromptIR、MFNET、Ours</w:t>
            </w:r>
          </w:p>
        </w:tc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宋体"/>
                <w:sz w:val="17"/>
              </w:rPr>
              <w:t>避免重复跑所有弱baseline</w:t>
            </w:r>
          </w:p>
        </w:tc>
      </w:tr>
      <w:tr>
        <w:trPr>
          <w:cantSplit/>
        </w:trPr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宋体"/>
                <w:sz w:val="17"/>
              </w:rPr>
              <w:t>3 seeds最终统计</w:t>
            </w:r>
          </w:p>
        </w:tc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宋体"/>
                <w:sz w:val="17"/>
              </w:rPr>
              <w:t>Ours必跑；Restormer、PromptIR、MFNET、GRL优先；其他仅当1-seed非常接近</w:t>
            </w:r>
          </w:p>
        </w:tc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宋体"/>
                <w:sz w:val="17"/>
              </w:rPr>
              <w:t>根据首轮结果动态补种子</w:t>
            </w:r>
          </w:p>
        </w:tc>
      </w:tr>
    </w:tbl>
    <w:p>
      <w:pPr>
        <w:pStyle w:val="Heading1"/>
      </w:pPr>
      <w:r>
        <w:t>8.统计策略与论文可信度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宋体"/>
          <w:color w:val="263238"/>
          <w:sz w:val="20"/>
        </w:rPr>
        <w:t>关键模型种子建议13/37/73；Ours必须3 seeds，Restormer/PromptIR/MFNET/GRL优先3 seeds。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宋体"/>
          <w:color w:val="263238"/>
          <w:sz w:val="20"/>
        </w:rPr>
        <w:t>Bootstrap必须按source cluster重采样，同一source的7个degradation views作为整体，禁止把1792个test query当完全独立样本。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宋体"/>
          <w:color w:val="263238"/>
          <w:sz w:val="20"/>
        </w:rPr>
        <w:t>报告mean±std以及95% source-cluster bootstrap CI；必要时报告paired difference CI。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宋体"/>
          <w:color w:val="263238"/>
          <w:sz w:val="20"/>
        </w:rPr>
        <w:t>所有source fidelity主结论同时在Verifier-A和Independent Verifier-B下检查方向。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宋体"/>
          <w:color w:val="263238"/>
          <w:sz w:val="20"/>
        </w:rPr>
        <w:t>主表按预先冻结的split与fingerprint生成，禁止为追结果更换test subset。</w:t>
      </w:r>
    </w:p>
    <w:p>
      <w:pPr>
        <w:pStyle w:val="Heading1"/>
      </w:pPr>
      <w:r>
        <w:t>9.最终论文建议表图结构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3400"/>
            <w:shd w:fill="2F6B4F"/>
          </w:tcPr>
          <w:p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400"/>
            <w:shd w:fill="2F6B4F"/>
          </w:tcPr>
          <w:p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3400"/>
            <w:shd w:fill="2F6B4F"/>
          </w:tcPr>
          <w:p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宋体"/>
                <w:sz w:val="17"/>
              </w:rPr>
              <w:t>Table 1</w:t>
            </w:r>
          </w:p>
        </w:tc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宋体"/>
                <w:sz w:val="17"/>
              </w:rPr>
              <w:t>7D AIO Restoration</w:t>
            </w:r>
          </w:p>
        </w:tc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宋体"/>
                <w:sz w:val="17"/>
              </w:rPr>
              <w:t>9个统一模型；7退化PSNR/SSIM/LPIPS与平均</w:t>
            </w:r>
          </w:p>
        </w:tc>
      </w:tr>
      <w:tr>
        <w:trPr>
          <w:cantSplit/>
        </w:trPr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宋体"/>
                <w:sz w:val="17"/>
              </w:rPr>
              <w:t>Table 2</w:t>
            </w:r>
          </w:p>
        </w:tc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宋体"/>
                <w:sz w:val="17"/>
              </w:rPr>
              <w:t>Source Fidelity</w:t>
            </w:r>
          </w:p>
        </w:tc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宋体"/>
                <w:sz w:val="17"/>
              </w:rPr>
              <w:t>All/Condition Top-1、EER、AUC、Margin；含Verifier-B复评</w:t>
            </w:r>
          </w:p>
        </w:tc>
      </w:tr>
      <w:tr>
        <w:trPr>
          <w:cantSplit/>
        </w:trPr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宋体"/>
                <w:sz w:val="17"/>
              </w:rPr>
              <w:t>Table 3</w:t>
            </w:r>
          </w:p>
        </w:tc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宋体"/>
                <w:sz w:val="17"/>
              </w:rPr>
              <w:t>Efficiency</w:t>
            </w:r>
          </w:p>
        </w:tc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宋体"/>
                <w:sz w:val="17"/>
              </w:rPr>
              <w:t>Params、MACs、Latency、VRAM、training-only overhead</w:t>
            </w:r>
          </w:p>
        </w:tc>
      </w:tr>
      <w:tr>
        <w:trPr>
          <w:cantSplit/>
        </w:trPr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宋体"/>
                <w:sz w:val="17"/>
              </w:rPr>
              <w:t>Table 4</w:t>
            </w:r>
          </w:p>
        </w:tc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宋体"/>
                <w:sz w:val="17"/>
              </w:rPr>
              <w:t>Ablation</w:t>
            </w:r>
          </w:p>
        </w:tc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宋体"/>
                <w:sz w:val="17"/>
              </w:rPr>
              <w:t>RSD/reliability/hard negative/stop-grad/consistency position/dim</w:t>
            </w:r>
          </w:p>
        </w:tc>
      </w:tr>
      <w:tr>
        <w:trPr>
          <w:cantSplit/>
        </w:trPr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宋体"/>
                <w:sz w:val="17"/>
              </w:rPr>
              <w:t>Table 5</w:t>
            </w:r>
          </w:p>
        </w:tc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宋体"/>
                <w:sz w:val="17"/>
              </w:rPr>
              <w:t>Robustness</w:t>
            </w:r>
          </w:p>
        </w:tc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宋体"/>
                <w:sz w:val="17"/>
              </w:rPr>
              <w:t>Severity + LODO摘要</w:t>
            </w:r>
          </w:p>
        </w:tc>
      </w:tr>
      <w:tr>
        <w:trPr>
          <w:cantSplit/>
        </w:trPr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宋体"/>
                <w:sz w:val="17"/>
              </w:rPr>
              <w:t>Table 6</w:t>
            </w:r>
          </w:p>
        </w:tc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宋体"/>
                <w:sz w:val="17"/>
              </w:rPr>
              <w:t>Cross-component OOD</w:t>
            </w:r>
          </w:p>
        </w:tc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宋体"/>
                <w:sz w:val="17"/>
              </w:rPr>
              <w:t>4个unseen component</w:t>
            </w:r>
          </w:p>
        </w:tc>
      </w:tr>
      <w:tr>
        <w:trPr>
          <w:cantSplit/>
        </w:trPr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宋体"/>
                <w:sz w:val="17"/>
              </w:rPr>
              <w:t>Table 7</w:t>
            </w:r>
          </w:p>
        </w:tc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宋体"/>
                <w:sz w:val="17"/>
              </w:rPr>
              <w:t>Downstream Inspection</w:t>
            </w:r>
          </w:p>
        </w:tc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宋体"/>
                <w:sz w:val="17"/>
              </w:rPr>
              <w:t>Macro-F1、defect recall、flip rates</w:t>
            </w:r>
          </w:p>
        </w:tc>
      </w:tr>
      <w:tr>
        <w:trPr>
          <w:cantSplit/>
        </w:trPr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宋体"/>
                <w:sz w:val="17"/>
              </w:rPr>
              <w:t>Table 8</w:t>
            </w:r>
          </w:p>
        </w:tc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宋体"/>
                <w:sz w:val="17"/>
              </w:rPr>
              <w:t>PLAIR-AW天气Specialist</w:t>
            </w:r>
          </w:p>
        </w:tc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宋体"/>
                <w:sz w:val="17"/>
              </w:rPr>
              <w:t>DehazeFormer/DRSformer/LMQFormer与统一模型天气子集</w:t>
            </w:r>
          </w:p>
        </w:tc>
      </w:tr>
      <w:tr>
        <w:trPr>
          <w:cantSplit/>
        </w:trPr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宋体"/>
                <w:sz w:val="17"/>
              </w:rPr>
              <w:t>Fig. 1</w:t>
            </w:r>
          </w:p>
        </w:tc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宋体"/>
                <w:sz w:val="17"/>
              </w:rPr>
              <w:t>Method</w:t>
            </w:r>
          </w:p>
        </w:tc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宋体"/>
                <w:sz w:val="17"/>
              </w:rPr>
              <w:t>SiblingRestore结构与training-only sibling graph</w:t>
            </w:r>
          </w:p>
        </w:tc>
      </w:tr>
      <w:tr>
        <w:trPr>
          <w:cantSplit/>
        </w:trPr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宋体"/>
                <w:sz w:val="17"/>
              </w:rPr>
              <w:t>Fig. 2</w:t>
            </w:r>
          </w:p>
        </w:tc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宋体"/>
                <w:sz w:val="17"/>
              </w:rPr>
              <w:t>Task Scaling</w:t>
            </w:r>
          </w:p>
        </w:tc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宋体"/>
                <w:sz w:val="17"/>
              </w:rPr>
              <w:t>1/3/5/7D下PSNR与EER曲线</w:t>
            </w:r>
          </w:p>
        </w:tc>
      </w:tr>
      <w:tr>
        <w:trPr>
          <w:cantSplit/>
        </w:trPr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宋体"/>
                <w:sz w:val="17"/>
              </w:rPr>
              <w:t>Fig. 3</w:t>
            </w:r>
          </w:p>
        </w:tc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宋体"/>
                <w:sz w:val="17"/>
              </w:rPr>
              <w:t>Reliability</w:t>
            </w:r>
          </w:p>
        </w:tc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宋体"/>
                <w:sz w:val="17"/>
              </w:rPr>
              <w:t>可靠度相关性/分箱图</w:t>
            </w:r>
          </w:p>
        </w:tc>
      </w:tr>
      <w:tr>
        <w:trPr>
          <w:cantSplit/>
        </w:trPr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宋体"/>
                <w:sz w:val="17"/>
              </w:rPr>
              <w:t>Fig. 4</w:t>
            </w:r>
          </w:p>
        </w:tc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宋体"/>
                <w:sz w:val="17"/>
              </w:rPr>
              <w:t>Source geometry</w:t>
            </w:r>
          </w:p>
        </w:tc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宋体"/>
                <w:sz w:val="17"/>
              </w:rPr>
              <w:t>Within-source vs between-source可视化/UMAP或距离分布</w:t>
            </w:r>
          </w:p>
        </w:tc>
      </w:tr>
      <w:tr>
        <w:trPr>
          <w:cantSplit/>
        </w:trPr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宋体"/>
                <w:sz w:val="17"/>
              </w:rPr>
              <w:t>Fig. 5</w:t>
            </w:r>
          </w:p>
        </w:tc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宋体"/>
                <w:sz w:val="17"/>
              </w:rPr>
              <w:t>Gradient Conflict</w:t>
            </w:r>
          </w:p>
        </w:tc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宋体"/>
                <w:sz w:val="17"/>
              </w:rPr>
              <w:t>Baseline vs Ours 7×7 heatmap</w:t>
            </w:r>
          </w:p>
        </w:tc>
      </w:tr>
      <w:tr>
        <w:trPr>
          <w:cantSplit/>
        </w:trPr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宋体"/>
                <w:sz w:val="17"/>
              </w:rPr>
              <w:t>Fig. 6</w:t>
            </w:r>
          </w:p>
        </w:tc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宋体"/>
                <w:sz w:val="17"/>
              </w:rPr>
              <w:t>PSNR vs Source Fidelity</w:t>
            </w:r>
          </w:p>
        </w:tc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宋体"/>
                <w:sz w:val="17"/>
              </w:rPr>
              <w:t>展示像素质量与source fidelity不等价</w:t>
            </w:r>
          </w:p>
        </w:tc>
      </w:tr>
      <w:tr>
        <w:trPr>
          <w:cantSplit/>
        </w:trPr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宋体"/>
                <w:sz w:val="17"/>
              </w:rPr>
              <w:t>Fig. 7</w:t>
            </w:r>
          </w:p>
        </w:tc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宋体"/>
                <w:sz w:val="17"/>
              </w:rPr>
              <w:t>Qualitative/Failure</w:t>
            </w:r>
          </w:p>
        </w:tc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宋体"/>
                <w:sz w:val="17"/>
              </w:rPr>
              <w:t>正常、严重退化、失败案例、下游flip样例</w:t>
            </w:r>
          </w:p>
        </w:tc>
      </w:tr>
    </w:tbl>
    <w:p>
      <w:pPr>
        <w:pStyle w:val="Heading1"/>
      </w:pPr>
      <w:r>
        <w:t>10.核心对比模型与GitHub仓库（沿用v1，便于Codex接入）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  <w:cantSplit/>
        </w:trPr>
        <w:tc>
          <w:tcPr>
            <w:tcW w:type="dxa" w:w="2550"/>
            <w:shd w:fill="2F6B4F"/>
          </w:tcPr>
          <w:p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模型</w:t>
            </w:r>
          </w:p>
        </w:tc>
        <w:tc>
          <w:tcPr>
            <w:tcW w:type="dxa" w:w="2550"/>
            <w:shd w:fill="2F6B4F"/>
          </w:tcPr>
          <w:p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Venue</w:t>
            </w:r>
          </w:p>
        </w:tc>
        <w:tc>
          <w:tcPr>
            <w:tcW w:type="dxa" w:w="2550"/>
            <w:shd w:fill="2F6B4F"/>
          </w:tcPr>
          <w:p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复现状态</w:t>
            </w:r>
          </w:p>
        </w:tc>
        <w:tc>
          <w:tcPr>
            <w:tcW w:type="dxa" w:w="2550"/>
            <w:shd w:fill="2F6B4F"/>
          </w:tcPr>
          <w:p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仓库</w:t>
            </w:r>
          </w:p>
        </w:tc>
      </w:tr>
      <w:tr>
        <w:trPr>
          <w:cantSplit/>
        </w:trPr>
        <w:tc>
          <w:tcPr>
            <w:tcW w:type="dxa" w:w="2550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Restormer</w:t>
            </w:r>
          </w:p>
        </w:tc>
        <w:tc>
          <w:tcPr>
            <w:tcW w:type="dxa" w:w="2550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CVPR 2022</w:t>
            </w:r>
          </w:p>
        </w:tc>
        <w:tc>
          <w:tcPr>
            <w:tcW w:type="dxa" w:w="2550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官方可用</w:t>
            </w:r>
          </w:p>
        </w:tc>
        <w:tc>
          <w:tcPr>
            <w:tcW w:type="dxa" w:w="2550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</w:r>
            <w:hyperlink r:id="rId11">
              <w:r>
                <w:rPr>
                  <w:color w:val="0563C1"/>
                  <w:u w:val="single"/>
                  <w:rFonts w:ascii="Times New Roman" w:hAnsi="Times New Roman" w:eastAsia="宋体"/>
                  <w:sz w:val="19"/>
                </w:rPr>
                <w:t>GitHub</w:t>
              </w:r>
            </w:hyperlink>
          </w:p>
        </w:tc>
      </w:tr>
      <w:tr>
        <w:trPr>
          <w:cantSplit/>
        </w:trPr>
        <w:tc>
          <w:tcPr>
            <w:tcW w:type="dxa" w:w="2550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GRL</w:t>
            </w:r>
          </w:p>
        </w:tc>
        <w:tc>
          <w:tcPr>
            <w:tcW w:type="dxa" w:w="2550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CVPR 2023</w:t>
            </w:r>
          </w:p>
        </w:tc>
        <w:tc>
          <w:tcPr>
            <w:tcW w:type="dxa" w:w="2550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官方可用，参数量级与Ours接近</w:t>
            </w:r>
          </w:p>
        </w:tc>
        <w:tc>
          <w:tcPr>
            <w:tcW w:type="dxa" w:w="2550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</w:r>
            <w:hyperlink r:id="rId12">
              <w:r>
                <w:rPr>
                  <w:color w:val="0563C1"/>
                  <w:u w:val="single"/>
                  <w:rFonts w:ascii="Times New Roman" w:hAnsi="Times New Roman" w:eastAsia="宋体"/>
                  <w:sz w:val="19"/>
                </w:rPr>
                <w:t>GitHub</w:t>
              </w:r>
            </w:hyperlink>
          </w:p>
        </w:tc>
      </w:tr>
      <w:tr>
        <w:trPr>
          <w:cantSplit/>
        </w:trPr>
        <w:tc>
          <w:tcPr>
            <w:tcW w:type="dxa" w:w="2550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AirNet</w:t>
            </w:r>
          </w:p>
        </w:tc>
        <w:tc>
          <w:tcPr>
            <w:tcW w:type="dxa" w:w="2550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CVPR 2022</w:t>
            </w:r>
          </w:p>
        </w:tc>
        <w:tc>
          <w:tcPr>
            <w:tcW w:type="dxa" w:w="2550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官方可用，旧环境；建议借模型结构统一数据管线</w:t>
            </w:r>
          </w:p>
        </w:tc>
        <w:tc>
          <w:tcPr>
            <w:tcW w:type="dxa" w:w="2550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</w:r>
            <w:hyperlink r:id="rId13">
              <w:r>
                <w:rPr>
                  <w:color w:val="0563C1"/>
                  <w:u w:val="single"/>
                  <w:rFonts w:ascii="Times New Roman" w:hAnsi="Times New Roman" w:eastAsia="宋体"/>
                  <w:sz w:val="19"/>
                </w:rPr>
                <w:t>GitHub</w:t>
              </w:r>
            </w:hyperlink>
          </w:p>
        </w:tc>
      </w:tr>
      <w:tr>
        <w:trPr>
          <w:cantSplit/>
        </w:trPr>
        <w:tc>
          <w:tcPr>
            <w:tcW w:type="dxa" w:w="2550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TransWeather</w:t>
            </w:r>
          </w:p>
        </w:tc>
        <w:tc>
          <w:tcPr>
            <w:tcW w:type="dxa" w:w="2550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CVPR 2022</w:t>
            </w:r>
          </w:p>
        </w:tc>
        <w:tc>
          <w:tcPr>
            <w:tcW w:type="dxa" w:w="2550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官方仓库，但代码完整性需谨慎核验</w:t>
            </w:r>
          </w:p>
        </w:tc>
        <w:tc>
          <w:tcPr>
            <w:tcW w:type="dxa" w:w="2550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</w:r>
            <w:hyperlink r:id="rId14">
              <w:r>
                <w:rPr>
                  <w:color w:val="0563C1"/>
                  <w:u w:val="single"/>
                  <w:rFonts w:ascii="Times New Roman" w:hAnsi="Times New Roman" w:eastAsia="宋体"/>
                  <w:sz w:val="19"/>
                </w:rPr>
                <w:t>GitHub</w:t>
              </w:r>
            </w:hyperlink>
          </w:p>
        </w:tc>
      </w:tr>
      <w:tr>
        <w:trPr>
          <w:cantSplit/>
        </w:trPr>
        <w:tc>
          <w:tcPr>
            <w:tcW w:type="dxa" w:w="2550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PromptIR</w:t>
            </w:r>
          </w:p>
        </w:tc>
        <w:tc>
          <w:tcPr>
            <w:tcW w:type="dxa" w:w="2550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NeurIPS 2023</w:t>
            </w:r>
          </w:p>
        </w:tc>
        <w:tc>
          <w:tcPr>
            <w:tcW w:type="dxa" w:w="2550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官方可用</w:t>
            </w:r>
          </w:p>
        </w:tc>
        <w:tc>
          <w:tcPr>
            <w:tcW w:type="dxa" w:w="2550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</w:r>
            <w:hyperlink r:id="rId15">
              <w:r>
                <w:rPr>
                  <w:color w:val="0563C1"/>
                  <w:u w:val="single"/>
                  <w:rFonts w:ascii="Times New Roman" w:hAnsi="Times New Roman" w:eastAsia="宋体"/>
                  <w:sz w:val="19"/>
                </w:rPr>
                <w:t>GitHub</w:t>
              </w:r>
            </w:hyperlink>
          </w:p>
        </w:tc>
      </w:tr>
      <w:tr>
        <w:trPr>
          <w:cantSplit/>
        </w:trPr>
        <w:tc>
          <w:tcPr>
            <w:tcW w:type="dxa" w:w="2550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DFPIR</w:t>
            </w:r>
          </w:p>
        </w:tc>
        <w:tc>
          <w:tcPr>
            <w:tcW w:type="dxa" w:w="2550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CVPR 2025</w:t>
            </w:r>
          </w:p>
        </w:tc>
        <w:tc>
          <w:tcPr>
            <w:tcW w:type="dxa" w:w="2550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官方可用，原3D/5D需扩7D</w:t>
            </w:r>
          </w:p>
        </w:tc>
        <w:tc>
          <w:tcPr>
            <w:tcW w:type="dxa" w:w="2550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</w:r>
            <w:hyperlink r:id="rId16">
              <w:r>
                <w:rPr>
                  <w:color w:val="0563C1"/>
                  <w:u w:val="single"/>
                  <w:rFonts w:ascii="Times New Roman" w:hAnsi="Times New Roman" w:eastAsia="宋体"/>
                  <w:sz w:val="19"/>
                </w:rPr>
                <w:t>GitHub</w:t>
              </w:r>
            </w:hyperlink>
          </w:p>
        </w:tc>
      </w:tr>
      <w:tr>
        <w:trPr>
          <w:cantSplit/>
        </w:trPr>
        <w:tc>
          <w:tcPr>
            <w:tcW w:type="dxa" w:w="2550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R2R</w:t>
            </w:r>
          </w:p>
        </w:tc>
        <w:tc>
          <w:tcPr>
            <w:tcW w:type="dxa" w:w="2550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CVPR 2026</w:t>
            </w:r>
          </w:p>
        </w:tc>
        <w:tc>
          <w:tcPr>
            <w:tcW w:type="dxa" w:w="2550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官方实现，需扩7D degradation bank</w:t>
            </w:r>
          </w:p>
        </w:tc>
        <w:tc>
          <w:tcPr>
            <w:tcW w:type="dxa" w:w="2550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</w:r>
            <w:hyperlink r:id="rId17">
              <w:r>
                <w:rPr>
                  <w:color w:val="0563C1"/>
                  <w:u w:val="single"/>
                  <w:rFonts w:ascii="Times New Roman" w:hAnsi="Times New Roman" w:eastAsia="宋体"/>
                  <w:sz w:val="19"/>
                </w:rPr>
                <w:t>GitHub</w:t>
              </w:r>
            </w:hyperlink>
          </w:p>
        </w:tc>
      </w:tr>
      <w:tr>
        <w:trPr>
          <w:cantSplit/>
        </w:trPr>
        <w:tc>
          <w:tcPr>
            <w:tcW w:type="dxa" w:w="2550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SwinIR</w:t>
            </w:r>
          </w:p>
        </w:tc>
        <w:tc>
          <w:tcPr>
            <w:tcW w:type="dxa" w:w="2550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ICCVW 2021</w:t>
            </w:r>
          </w:p>
        </w:tc>
        <w:tc>
          <w:tcPr>
            <w:tcW w:type="dxa" w:w="2550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官方可用，Supplementary/general restoration</w:t>
            </w:r>
          </w:p>
        </w:tc>
        <w:tc>
          <w:tcPr>
            <w:tcW w:type="dxa" w:w="2550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</w:r>
            <w:hyperlink r:id="rId18">
              <w:r>
                <w:rPr>
                  <w:color w:val="0563C1"/>
                  <w:u w:val="single"/>
                  <w:rFonts w:ascii="Times New Roman" w:hAnsi="Times New Roman" w:eastAsia="宋体"/>
                  <w:sz w:val="19"/>
                </w:rPr>
                <w:t>GitHub</w:t>
              </w:r>
            </w:hyperlink>
          </w:p>
        </w:tc>
      </w:tr>
      <w:tr>
        <w:trPr>
          <w:cantSplit/>
        </w:trPr>
        <w:tc>
          <w:tcPr>
            <w:tcW w:type="dxa" w:w="2550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Perceive-IR</w:t>
            </w:r>
          </w:p>
        </w:tc>
        <w:tc>
          <w:tcPr>
            <w:tcW w:type="dxa" w:w="2550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IEEE TIP 2025</w:t>
            </w:r>
          </w:p>
        </w:tc>
        <w:tc>
          <w:tcPr>
            <w:tcW w:type="dxa" w:w="2550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官方可用，感知型AIO补充</w:t>
            </w:r>
          </w:p>
        </w:tc>
        <w:tc>
          <w:tcPr>
            <w:tcW w:type="dxa" w:w="2550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</w:r>
            <w:hyperlink r:id="rId19">
              <w:r>
                <w:rPr>
                  <w:color w:val="0563C1"/>
                  <w:u w:val="single"/>
                  <w:rFonts w:ascii="Times New Roman" w:hAnsi="Times New Roman" w:eastAsia="宋体"/>
                  <w:sz w:val="19"/>
                </w:rPr>
                <w:t>GitHub</w:t>
              </w:r>
            </w:hyperlink>
          </w:p>
        </w:tc>
      </w:tr>
      <w:tr>
        <w:trPr>
          <w:cantSplit/>
        </w:trPr>
        <w:tc>
          <w:tcPr>
            <w:tcW w:type="dxa" w:w="2550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ClearAIR</w:t>
            </w:r>
          </w:p>
        </w:tc>
        <w:tc>
          <w:tcPr>
            <w:tcW w:type="dxa" w:w="2550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AAAI 2026</w:t>
            </w:r>
          </w:p>
        </w:tc>
        <w:tc>
          <w:tcPr>
            <w:tcW w:type="dxa" w:w="2550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官方可用但辅助栈较重</w:t>
            </w:r>
          </w:p>
        </w:tc>
        <w:tc>
          <w:tcPr>
            <w:tcW w:type="dxa" w:w="2550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</w:r>
            <w:hyperlink r:id="rId20">
              <w:r>
                <w:rPr>
                  <w:color w:val="0563C1"/>
                  <w:u w:val="single"/>
                  <w:rFonts w:ascii="Times New Roman" w:hAnsi="Times New Roman" w:eastAsia="宋体"/>
                  <w:sz w:val="19"/>
                </w:rPr>
                <w:t>GitHub</w:t>
              </w:r>
            </w:hyperlink>
          </w:p>
        </w:tc>
      </w:tr>
      <w:tr>
        <w:trPr>
          <w:cantSplit/>
        </w:trPr>
        <w:tc>
          <w:tcPr>
            <w:tcW w:type="dxa" w:w="2550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DehazeFormer</w:t>
            </w:r>
          </w:p>
        </w:tc>
        <w:tc>
          <w:tcPr>
            <w:tcW w:type="dxa" w:w="2550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TIP 2023</w:t>
            </w:r>
          </w:p>
        </w:tc>
        <w:tc>
          <w:tcPr>
            <w:tcW w:type="dxa" w:w="2550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Haze specialist</w:t>
            </w:r>
          </w:p>
        </w:tc>
        <w:tc>
          <w:tcPr>
            <w:tcW w:type="dxa" w:w="2550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</w:r>
            <w:hyperlink r:id="rId21">
              <w:r>
                <w:rPr>
                  <w:color w:val="0563C1"/>
                  <w:u w:val="single"/>
                  <w:rFonts w:ascii="Times New Roman" w:hAnsi="Times New Roman" w:eastAsia="宋体"/>
                  <w:sz w:val="19"/>
                </w:rPr>
                <w:t>GitHub</w:t>
              </w:r>
            </w:hyperlink>
          </w:p>
        </w:tc>
      </w:tr>
      <w:tr>
        <w:trPr>
          <w:cantSplit/>
        </w:trPr>
        <w:tc>
          <w:tcPr>
            <w:tcW w:type="dxa" w:w="2550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DRSformer</w:t>
            </w:r>
          </w:p>
        </w:tc>
        <w:tc>
          <w:tcPr>
            <w:tcW w:type="dxa" w:w="2550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CVPR 2023</w:t>
            </w:r>
          </w:p>
        </w:tc>
        <w:tc>
          <w:tcPr>
            <w:tcW w:type="dxa" w:w="2550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Rain specialist</w:t>
            </w:r>
          </w:p>
        </w:tc>
        <w:tc>
          <w:tcPr>
            <w:tcW w:type="dxa" w:w="2550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</w:r>
            <w:hyperlink r:id="rId22">
              <w:r>
                <w:rPr>
                  <w:color w:val="0563C1"/>
                  <w:u w:val="single"/>
                  <w:rFonts w:ascii="Times New Roman" w:hAnsi="Times New Roman" w:eastAsia="宋体"/>
                  <w:sz w:val="19"/>
                </w:rPr>
                <w:t>GitHub</w:t>
              </w:r>
            </w:hyperlink>
          </w:p>
        </w:tc>
      </w:tr>
      <w:tr>
        <w:trPr>
          <w:cantSplit/>
        </w:trPr>
        <w:tc>
          <w:tcPr>
            <w:tcW w:type="dxa" w:w="2550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LMQFormer</w:t>
            </w:r>
          </w:p>
        </w:tc>
        <w:tc>
          <w:tcPr>
            <w:tcW w:type="dxa" w:w="2550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TCSVT</w:t>
            </w:r>
          </w:p>
        </w:tc>
        <w:tc>
          <w:tcPr>
            <w:tcW w:type="dxa" w:w="2550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Snow specialist</w:t>
            </w:r>
          </w:p>
        </w:tc>
        <w:tc>
          <w:tcPr>
            <w:tcW w:type="dxa" w:w="2550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</w:r>
            <w:hyperlink r:id="rId23">
              <w:r>
                <w:rPr>
                  <w:color w:val="0563C1"/>
                  <w:u w:val="single"/>
                  <w:rFonts w:ascii="Times New Roman" w:hAnsi="Times New Roman" w:eastAsia="宋体"/>
                  <w:sz w:val="19"/>
                </w:rPr>
                <w:t>GitHub</w:t>
              </w:r>
            </w:hyperlink>
          </w:p>
        </w:tc>
      </w:tr>
      <w:tr>
        <w:trPr>
          <w:cantSplit/>
        </w:trPr>
        <w:tc>
          <w:tcPr>
            <w:tcW w:type="dxa" w:w="2550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MFNET</w:t>
            </w:r>
          </w:p>
        </w:tc>
        <w:tc>
          <w:tcPr>
            <w:tcW w:type="dxa" w:w="2550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Neural Networks 2026</w:t>
            </w:r>
          </w:p>
        </w:tc>
        <w:tc>
          <w:tcPr>
            <w:tcW w:type="dxa" w:w="2550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截至当前未检索到公开官方GitHub；优先联系作者或按论文复现</w:t>
            </w:r>
          </w:p>
        </w:tc>
        <w:tc>
          <w:tcPr>
            <w:tcW w:type="dxa" w:w="2550"/>
            <w:tcMar>
              <w:top w:w="45" w:type="dxa"/>
              <w:start w:w="50" w:type="dxa"/>
              <w:bottom w:w="45" w:type="dxa"/>
              <w:end w:w="50" w:type="dxa"/>
            </w:tcMar>
          </w:tcPr>
          <w:p>
            <w:r>
              <w:rPr>
                <w:rFonts w:ascii="Times New Roman" w:hAnsi="Times New Roman" w:eastAsia="宋体"/>
                <w:sz w:val="16"/>
              </w:rPr>
              <w:t>—</w:t>
            </w:r>
          </w:p>
        </w:tc>
      </w:tr>
    </w:tbl>
    <w:p>
      <w:pPr>
        <w:pStyle w:val="Heading1"/>
      </w:pPr>
      <w:r>
        <w:t>11.现在立刻应该做什么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3400"/>
            <w:shd w:fill="2F6B4F"/>
          </w:tcPr>
          <w:p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3400"/>
            <w:shd w:fill="2F6B4F"/>
          </w:tcPr>
          <w:p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动作</w:t>
            </w:r>
          </w:p>
        </w:tc>
        <w:tc>
          <w:tcPr>
            <w:tcW w:type="dxa" w:w="3400"/>
            <w:shd w:fill="2F6B4F"/>
          </w:tcPr>
          <w:p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  <w:shd w:fill="EAF3EE"/>
          </w:tcPr>
          <w:p>
            <w:r>
              <w:rPr>
                <w:rFonts w:ascii="Times New Roman" w:hAnsi="Times New Roman" w:eastAsia="宋体"/>
                <w:sz w:val="17"/>
              </w:rPr>
              <w:t>1</w:t>
            </w:r>
          </w:p>
        </w:tc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宋体"/>
                <w:sz w:val="17"/>
              </w:rPr>
              <w:t>冻结E0</w:t>
            </w:r>
          </w:p>
        </w:tc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宋体"/>
                <w:sz w:val="17"/>
              </w:rPr>
              <w:t>把当前dataset fingerprint、split、Method B、evaluation脚本保存为paper protocol版本。</w:t>
            </w:r>
          </w:p>
        </w:tc>
      </w:tr>
      <w:tr>
        <w:trPr>
          <w:cantSplit/>
        </w:trPr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  <w:shd w:fill="EAF3EE"/>
          </w:tcPr>
          <w:p>
            <w:r>
              <w:rPr>
                <w:rFonts w:ascii="Times New Roman" w:hAnsi="Times New Roman" w:eastAsia="宋体"/>
                <w:sz w:val="17"/>
              </w:rPr>
              <w:t>2</w:t>
            </w:r>
          </w:p>
        </w:tc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宋体"/>
                <w:sz w:val="17"/>
              </w:rPr>
              <w:t>跑E1</w:t>
            </w:r>
          </w:p>
        </w:tc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宋体"/>
                <w:sz w:val="17"/>
              </w:rPr>
              <w:t>只跑dim48 reconstruction baseline和当前RSD/Ours，先拿7D PSNR+Source Fidelity。</w:t>
            </w:r>
          </w:p>
        </w:tc>
      </w:tr>
      <w:tr>
        <w:trPr>
          <w:cantSplit/>
        </w:trPr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  <w:shd w:fill="EAF3EE"/>
          </w:tcPr>
          <w:p>
            <w:r>
              <w:rPr>
                <w:rFonts w:ascii="Times New Roman" w:hAnsi="Times New Roman" w:eastAsia="宋体"/>
                <w:sz w:val="17"/>
              </w:rPr>
              <w:t>3</w:t>
            </w:r>
          </w:p>
        </w:tc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宋体"/>
                <w:sz w:val="17"/>
              </w:rPr>
              <w:t>并行做E5</w:t>
            </w:r>
          </w:p>
        </w:tc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宋体"/>
                <w:sz w:val="17"/>
              </w:rPr>
              <w:t>建立Independent Verifier-B。这个在大规模实验前做，避免后面发现评价存在循环论证。</w:t>
            </w:r>
          </w:p>
        </w:tc>
      </w:tr>
      <w:tr>
        <w:trPr>
          <w:cantSplit/>
        </w:trPr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  <w:shd w:fill="EAF3EE"/>
          </w:tcPr>
          <w:p>
            <w:r>
              <w:rPr>
                <w:rFonts w:ascii="Times New Roman" w:hAnsi="Times New Roman" w:eastAsia="宋体"/>
                <w:sz w:val="17"/>
              </w:rPr>
              <w:t>4</w:t>
            </w:r>
          </w:p>
        </w:tc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宋体"/>
                <w:sz w:val="17"/>
              </w:rPr>
              <w:t>跑关键4个外部模型</w:t>
            </w:r>
          </w:p>
        </w:tc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宋体"/>
                <w:sz w:val="17"/>
              </w:rPr>
              <w:t>Restormer、PromptIR、GRL、MFNET先1 seed，形成第一版Pareto图。</w:t>
            </w:r>
          </w:p>
        </w:tc>
      </w:tr>
      <w:tr>
        <w:trPr>
          <w:cantSplit/>
        </w:trPr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  <w:shd w:fill="EAF3EE"/>
          </w:tcPr>
          <w:p>
            <w:r>
              <w:rPr>
                <w:rFonts w:ascii="Times New Roman" w:hAnsi="Times New Roman" w:eastAsia="宋体"/>
                <w:sz w:val="17"/>
              </w:rPr>
              <w:t>5</w:t>
            </w:r>
          </w:p>
        </w:tc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宋体"/>
                <w:sz w:val="17"/>
              </w:rPr>
              <w:t>决定是否冻结Ours</w:t>
            </w:r>
          </w:p>
        </w:tc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宋体"/>
                <w:sz w:val="17"/>
              </w:rPr>
              <w:t>如果质量+source fidelity+效率三者形成清晰优势，再进入全主表；否则优先迭代机制。</w:t>
            </w:r>
          </w:p>
        </w:tc>
      </w:tr>
      <w:tr>
        <w:trPr>
          <w:cantSplit/>
        </w:trPr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  <w:shd w:fill="EAF3EE"/>
          </w:tcPr>
          <w:p>
            <w:r>
              <w:rPr>
                <w:rFonts w:ascii="Times New Roman" w:hAnsi="Times New Roman" w:eastAsia="宋体"/>
                <w:sz w:val="17"/>
              </w:rPr>
              <w:t>6</w:t>
            </w:r>
          </w:p>
        </w:tc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宋体"/>
                <w:sz w:val="17"/>
              </w:rPr>
              <w:t>模型冻结后跑Phase III</w:t>
            </w:r>
          </w:p>
        </w:tc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宋体"/>
                <w:sz w:val="17"/>
              </w:rPr>
              <w:t>消融→Task Scaling→Reliability→Sibling Availability→Within/Between-source；Gradient Conflict最后补。</w:t>
            </w:r>
          </w:p>
        </w:tc>
      </w:tr>
      <w:tr>
        <w:trPr>
          <w:cantSplit/>
        </w:trPr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  <w:shd w:fill="EAF3EE"/>
          </w:tcPr>
          <w:p>
            <w:r>
              <w:rPr>
                <w:rFonts w:ascii="Times New Roman" w:hAnsi="Times New Roman" w:eastAsia="宋体"/>
                <w:sz w:val="17"/>
              </w:rPr>
              <w:t>7</w:t>
            </w:r>
          </w:p>
        </w:tc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宋体"/>
                <w:sz w:val="17"/>
              </w:rPr>
              <w:t>再进入Phase IV/V</w:t>
            </w:r>
          </w:p>
        </w:tc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Times New Roman" w:hAnsi="Times New Roman" w:eastAsia="宋体"/>
                <w:sz w:val="17"/>
              </w:rPr>
              <w:t>Severity→LODO→OOD→Missing sibling/Noise sensitivity→Downstream→3 seeds/bootstrap→Failure Cases。</w:t>
            </w:r>
          </w:p>
        </w:tc>
      </w:tr>
    </w:tbl>
    <w:p>
      <w:pPr>
        <w:spacing w:before="240" w:after="60"/>
      </w:pPr>
      <w:r>
        <w:rPr>
          <w:rFonts w:ascii="Times New Roman" w:hAnsi="Times New Roman" w:eastAsia="黑体"/>
          <w:b/>
          <w:color w:val="2F6B4F"/>
          <w:sz w:val="22"/>
        </w:rPr>
        <w:t>最终判断：</w:t>
      </w:r>
      <w:r>
        <w:rPr>
          <w:rFonts w:ascii="Times New Roman" w:hAnsi="Times New Roman" w:eastAsia="宋体"/>
          <w:color w:val="263238"/>
          <w:sz w:val="21"/>
        </w:rPr>
        <w:t>现阶段不需要继续“加实验数量”。应把P0/P1做深，特别是Independent Verifier、Source Fidelity、Task Scaling、Reliability、Sibling Availability、Cross-component OOD和Downstream Inspection。这些实验共同构成SiblingRestore区别于普通AIO restoration论文的核心证据链。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667085"/>
        <w:sz w:val="17"/>
      </w:rPr>
      <w:t>内部实验执行文档｜数据协议固定后使用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color w:val="667085"/>
        <w:sz w:val="17"/>
      </w:rPr>
      <w:t>PLAMD / SiblingRestore · Experiment Roadmap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2F6B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26323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376A8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b/>
      <w:color w:val="2F6B4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0Priority">
    <w:name w:val="P0 Priority"/>
    <w:rPr>
      <w:rFonts w:ascii="Times New Roman" w:hAnsi="Times New Roman" w:eastAsia="黑体"/>
      <w:b/>
      <w:color w:val="A94442"/>
      <w:sz w:val="21"/>
    </w:rPr>
  </w:style>
  <w:style w:type="paragraph" w:customStyle="1" w:styleId="P1Priority">
    <w:name w:val="P1 Priority"/>
    <w:rPr>
      <w:rFonts w:ascii="Times New Roman" w:hAnsi="Times New Roman" w:eastAsia="黑体"/>
      <w:b/>
      <w:color w:val="B76E2E"/>
      <w:sz w:val="21"/>
    </w:rPr>
  </w:style>
  <w:style w:type="paragraph" w:customStyle="1" w:styleId="P2Priority">
    <w:name w:val="P2 Priority"/>
    <w:rPr>
      <w:rFonts w:ascii="Times New Roman" w:hAnsi="Times New Roman" w:eastAsia="黑体"/>
      <w:b/>
      <w:color w:val="376A8A"/>
      <w:sz w:val="21"/>
    </w:rPr>
  </w:style>
  <w:style w:type="paragraph" w:customStyle="1" w:styleId="P3Priority">
    <w:name w:val="P3 Priority"/>
    <w:rPr>
      <w:rFonts w:ascii="Times New Roman" w:hAnsi="Times New Roman" w:eastAsia="黑体"/>
      <w:b/>
      <w:color w:val="667085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swz30/Restormer" TargetMode="External"/><Relationship Id="rId12" Type="http://schemas.openxmlformats.org/officeDocument/2006/relationships/hyperlink" Target="https://github.com/ofsoundof/GRL-Image-Restoration" TargetMode="External"/><Relationship Id="rId13" Type="http://schemas.openxmlformats.org/officeDocument/2006/relationships/hyperlink" Target="https://github.com/XLearning-SCU/2022-CVPR-AirNet" TargetMode="External"/><Relationship Id="rId14" Type="http://schemas.openxmlformats.org/officeDocument/2006/relationships/hyperlink" Target="https://github.com/jeya-maria-jose/TransWeather" TargetMode="External"/><Relationship Id="rId15" Type="http://schemas.openxmlformats.org/officeDocument/2006/relationships/hyperlink" Target="https://github.com/va1shn9v/PromptIR" TargetMode="External"/><Relationship Id="rId16" Type="http://schemas.openxmlformats.org/officeDocument/2006/relationships/hyperlink" Target="https://github.com/TxpHome/DFPIR" TargetMode="External"/><Relationship Id="rId17" Type="http://schemas.openxmlformats.org/officeDocument/2006/relationships/hyperlink" Target="https://github.com/cscxwang/R2R" TargetMode="External"/><Relationship Id="rId18" Type="http://schemas.openxmlformats.org/officeDocument/2006/relationships/hyperlink" Target="https://github.com/JingyunLiang/SwinIR" TargetMode="External"/><Relationship Id="rId19" Type="http://schemas.openxmlformats.org/officeDocument/2006/relationships/hyperlink" Target="https://github.com/House-yuyu/Perceive-IR" TargetMode="External"/><Relationship Id="rId20" Type="http://schemas.openxmlformats.org/officeDocument/2006/relationships/hyperlink" Target="https://github.com/House-yuyu/ClearAIR" TargetMode="External"/><Relationship Id="rId21" Type="http://schemas.openxmlformats.org/officeDocument/2006/relationships/hyperlink" Target="https://github.com/IDKiro/DehazeFormer" TargetMode="External"/><Relationship Id="rId22" Type="http://schemas.openxmlformats.org/officeDocument/2006/relationships/hyperlink" Target="https://github.com/cschenxiang/DRSformer" TargetMode="External"/><Relationship Id="rId23" Type="http://schemas.openxmlformats.org/officeDocument/2006/relationships/hyperlink" Target="https://github.com/JHLin42in/LMQForm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