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CloudEco: Performance Benchmark Report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Experimental Results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scalable inference system was subjected to load testing using Locust. The breaking point for each configuration was determined by identifying the threshold where the system exhibited exponential latency degradation, HTTP 500/503 errors, or OOMKilled pod terminations.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Configuration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Maximum Stable Users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Average Response Time at Threshold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1 Pod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~7,500 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2 Pods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~15,000 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4 Pods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~40,000 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8 Pods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~35,000 ms</w:t>
            </w:r>
          </w:p>
        </w:tc>
      </w:tr>
    </w:tbl>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48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(Note: Please insert Plot 1: Scaling Efficiency and Plot 2: Concurrency vs. Latency here)</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Performance Analysis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Bottleneck Identification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primary bottleneck within the FastAPI architecture is the single-stage YOLO object detection model. Machine learning inference is intrinsically CPU-bound. With the strict Kubernetes resource constraint of 1.0 vCPU per pod, a single instance is severely restricted in processing concurrent heavy image payloads. A secondary bottleneck observed was memory exhaustion (OOMKilled); as the single-core CPU struggled to keep pace, base64-decoded image arrays queued in the RAM, eventually surpassing the pod's memory limits.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Queuing Theory and Little's Law</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catastrophic latency spikes observed during saturation can be mathematically explained using Little’s Law (</w:t>
      </w:r>
      <w:r w:rsidDel="00000000" w:rsidR="00000000" w:rsidRPr="00000000">
        <w:rPr>
          <w:rFonts w:ascii="Arial" w:cs="Arial" w:eastAsia="Arial" w:hAnsi="Arial"/>
          <w:color w:val="1f1f1f"/>
        </w:rPr>
        <w:drawing>
          <wp:inline distB="19050" distT="19050" distL="19050" distR="19050">
            <wp:extent cx="678731" cy="22943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78731" cy="229430"/>
                    </a:xfrm>
                    <a:prstGeom prst="rect"/>
                    <a:ln/>
                  </pic:spPr>
                </pic:pic>
              </a:graphicData>
            </a:graphic>
          </wp:inline>
        </w:drawing>
      </w:r>
      <w:r w:rsidDel="00000000" w:rsidR="00000000" w:rsidRPr="00000000">
        <w:rPr>
          <w:rFonts w:ascii="Arial" w:cs="Arial" w:eastAsia="Arial" w:hAnsi="Arial"/>
          <w:color w:val="1f1f1f"/>
          <w:rtl w:val="0"/>
        </w:rPr>
        <w:t xml:space="preserve">). The equation dictates that the long-term average number of requests in a stable system (</w:t>
      </w:r>
      <w:r w:rsidDel="00000000" w:rsidR="00000000" w:rsidRPr="00000000">
        <w:rPr>
          <w:rFonts w:ascii="Arial" w:cs="Arial" w:eastAsia="Arial" w:hAnsi="Arial"/>
          <w:color w:val="1f1f1f"/>
        </w:rPr>
        <w:drawing>
          <wp:inline distB="19050" distT="19050" distL="19050" distR="19050">
            <wp:extent cx="125611" cy="231897"/>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25611" cy="231897"/>
                    </a:xfrm>
                    <a:prstGeom prst="rect"/>
                    <a:ln/>
                  </pic:spPr>
                </pic:pic>
              </a:graphicData>
            </a:graphic>
          </wp:inline>
        </w:drawing>
      </w:r>
      <w:r w:rsidDel="00000000" w:rsidR="00000000" w:rsidRPr="00000000">
        <w:rPr>
          <w:rFonts w:ascii="Arial" w:cs="Arial" w:eastAsia="Arial" w:hAnsi="Arial"/>
          <w:color w:val="1f1f1f"/>
          <w:rtl w:val="0"/>
        </w:rPr>
        <w:t xml:space="preserve">) is equal to the arrival rate (</w:t>
      </w:r>
      <w:r w:rsidDel="00000000" w:rsidR="00000000" w:rsidRPr="00000000">
        <w:rPr>
          <w:rFonts w:ascii="Arial" w:cs="Arial" w:eastAsia="Arial" w:hAnsi="Arial"/>
          <w:color w:val="1f1f1f"/>
        </w:rPr>
        <w:drawing>
          <wp:inline distB="19050" distT="19050" distL="19050" distR="19050">
            <wp:extent cx="107529" cy="234608"/>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07529" cy="234608"/>
                    </a:xfrm>
                    <a:prstGeom prst="rect"/>
                    <a:ln/>
                  </pic:spPr>
                </pic:pic>
              </a:graphicData>
            </a:graphic>
          </wp:inline>
        </w:drawing>
      </w:r>
      <w:r w:rsidDel="00000000" w:rsidR="00000000" w:rsidRPr="00000000">
        <w:rPr>
          <w:rFonts w:ascii="Arial" w:cs="Arial" w:eastAsia="Arial" w:hAnsi="Arial"/>
          <w:color w:val="1f1f1f"/>
          <w:rtl w:val="0"/>
        </w:rPr>
        <w:t xml:space="preserve">) multiplied by the average wait time (</w:t>
      </w:r>
      <w:r w:rsidDel="00000000" w:rsidR="00000000" w:rsidRPr="00000000">
        <w:rPr>
          <w:rFonts w:ascii="Arial" w:cs="Arial" w:eastAsia="Arial" w:hAnsi="Arial"/>
          <w:color w:val="1f1f1f"/>
        </w:rPr>
        <w:drawing>
          <wp:inline distB="19050" distT="19050" distL="19050" distR="19050">
            <wp:extent cx="199728" cy="228260"/>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99728" cy="228260"/>
                    </a:xfrm>
                    <a:prstGeom prst="rect"/>
                    <a:ln/>
                  </pic:spPr>
                </pic:pic>
              </a:graphicData>
            </a:graphic>
          </wp:inline>
        </w:drawing>
      </w:r>
      <w:r w:rsidDel="00000000" w:rsidR="00000000" w:rsidRPr="00000000">
        <w:rPr>
          <w:rFonts w:ascii="Arial" w:cs="Arial" w:eastAsia="Arial" w:hAnsi="Arial"/>
          <w:color w:val="1f1f1f"/>
          <w:rtl w:val="0"/>
        </w:rPr>
        <w:t xml:space="preserve">). When the concurrent user arrival rate generated by Locust exceeded the fixed service rate of the constrained pods, the system entered an unstable state. The queue length (</w:t>
      </w:r>
      <w:r w:rsidDel="00000000" w:rsidR="00000000" w:rsidRPr="00000000">
        <w:rPr>
          <w:rFonts w:ascii="Arial" w:cs="Arial" w:eastAsia="Arial" w:hAnsi="Arial"/>
          <w:color w:val="1f1f1f"/>
        </w:rPr>
        <w:drawing>
          <wp:inline distB="19050" distT="19050" distL="19050" distR="19050">
            <wp:extent cx="125611" cy="231897"/>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25611" cy="231897"/>
                    </a:xfrm>
                    <a:prstGeom prst="rect"/>
                    <a:ln/>
                  </pic:spPr>
                </pic:pic>
              </a:graphicData>
            </a:graphic>
          </wp:inline>
        </w:drawing>
      </w:r>
      <w:r w:rsidDel="00000000" w:rsidR="00000000" w:rsidRPr="00000000">
        <w:rPr>
          <w:rFonts w:ascii="Arial" w:cs="Arial" w:eastAsia="Arial" w:hAnsi="Arial"/>
          <w:color w:val="1f1f1f"/>
          <w:rtl w:val="0"/>
        </w:rPr>
        <w:t xml:space="preserve">) grew indefinitely, forcing the wait time (</w:t>
      </w:r>
      <w:r w:rsidDel="00000000" w:rsidR="00000000" w:rsidRPr="00000000">
        <w:rPr>
          <w:rFonts w:ascii="Arial" w:cs="Arial" w:eastAsia="Arial" w:hAnsi="Arial"/>
          <w:color w:val="1f1f1f"/>
        </w:rPr>
        <w:drawing>
          <wp:inline distB="19050" distT="19050" distL="19050" distR="19050">
            <wp:extent cx="199728" cy="22826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99728" cy="228260"/>
                    </a:xfrm>
                    <a:prstGeom prst="rect"/>
                    <a:ln/>
                  </pic:spPr>
                </pic:pic>
              </a:graphicData>
            </a:graphic>
          </wp:inline>
        </w:drawing>
      </w:r>
      <w:r w:rsidDel="00000000" w:rsidR="00000000" w:rsidRPr="00000000">
        <w:rPr>
          <w:rFonts w:ascii="Arial" w:cs="Arial" w:eastAsia="Arial" w:hAnsi="Arial"/>
          <w:color w:val="1f1f1f"/>
          <w:rtl w:val="0"/>
        </w:rPr>
        <w:t xml:space="preserve">) to degrade exponentially—manifesting as latency spikes up to 60 seconds before connection timeouts occurred.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Scaling Efficiency and Hardware Limits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Horizontal Pod Autoscaling effectively mitigates software-level bottlenecks by distributing the queue across multiple replicas, thereby multiplying the aggregate service capacity. The horizontal scaling from 1 to 4 pods demonstrated strong efficiency, increasing the maximum stable concurrent users nearly linearly from 2 to 45.</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However, the transition from 4 to 8 pods yielded diminishing returns (peaking at 70 users instead of a theoretical 90). This highlights a critical infrastructural limitation: the underlying GKE cluster operates on two e2-standard-4 worker nodes, providing exactly 8 physical vCPUs. Deploying 8 CPU-bound pods fully saturated the physical hardware. Consequently, the pods were forced into severe resource contention, competing with the host OS and Kubernetes agents (e.g., kubelet) for CPU cycles. The resulting context-switching overhead proved that while horizontal scaling alleviates queuing delays, its efficacy is strictly bounded by the absolute hardware capacity of the cluster.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