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1F0CA">
      <w:pPr>
        <w:pStyle w:val="2"/>
        <w:keepNext w:val="0"/>
        <w:keepLines w:val="0"/>
        <w:widowControl/>
        <w:suppressLineNumbers w:val="0"/>
      </w:pPr>
      <w:r>
        <w:t>CloudEco Benchmark Report</w:t>
      </w:r>
    </w:p>
    <w:p w14:paraId="20A8970A">
      <w:pPr>
        <w:pStyle w:val="2"/>
        <w:keepNext w:val="0"/>
        <w:keepLines w:val="0"/>
        <w:widowControl/>
        <w:suppressLineNumbers w:val="0"/>
      </w:pPr>
      <w:r>
        <w:t xml:space="preserve">This report evaluates the scalability of a FastAPI-based YOLO wildlife detection service deployed on Kubernetes with 1, 2, 4, and 8 pod configurations. The assignment defines the system breaking point as the stage where latency increases sharply or HTTP failures begin to occur. In this project, the service often continued returning successful HTTP responses even after latency had already become very high. Therefore, using the first error point alone would overestimate the system’s practical capacity. To provide a consistent benchmark, this report defines the maximum acceptable concurrent users as the highest load level at which latency remained within a 3000 ms acceptable threshold. This threshold was applied uniformly across all pod configurations. </w:t>
      </w:r>
    </w:p>
    <w:p w14:paraId="5963869C">
      <w:pPr>
        <w:pStyle w:val="2"/>
        <w:keepNext w:val="0"/>
        <w:keepLines w:val="0"/>
        <w:widowControl/>
        <w:suppressLineNumbers w:val="0"/>
      </w:pPr>
      <w:r>
        <w:t>The results show that horizontal scaling improved both concurrency capacity and throughput. Under the 3000 ms threshold, the system supported 17 acceptable users on 1 pod, 35 on 2 pods, 65 on 4 pods, and 95 on 8 pods. Throughput increased from 5.8 RPS on 1 pod to 33.7 RPS on 8 pods. However, the improvement was not perfectly linear. For example, doubling the pod count from 4 to 8 increased throughput from 22.8 to 33.7 RPS rather than doubling it, which indicates diminishing returns at higher scale.</w:t>
      </w:r>
    </w:p>
    <w:p w14:paraId="5557E7E9">
      <w:pPr>
        <w:pStyle w:val="2"/>
        <w:keepNext w:val="0"/>
        <w:keepLines w:val="0"/>
        <w:widowControl/>
        <w:suppressLineNumbers w:val="0"/>
      </w:pPr>
      <w:r>
        <w:t>Little’s Law states that L = λW, where L is the average number of requests in the system, λ is throughput, and W is average response time. Rearranging gives W = L / λ. Using the measured data, the estimated response times are:</w:t>
      </w:r>
      <w:r>
        <w:br w:type="textWrapping"/>
      </w:r>
      <w:r>
        <w:t>1 pod: 17 / 5.8 = 2.93 s</w:t>
      </w:r>
      <w:r>
        <w:br w:type="textWrapping"/>
      </w:r>
      <w:r>
        <w:t>2 pods: 35 / 12.8 = 2.73 s</w:t>
      </w:r>
      <w:r>
        <w:br w:type="textWrapping"/>
      </w:r>
      <w:r>
        <w:t>4 pods: 65 / 22.8 = 2.85 s</w:t>
      </w:r>
      <w:r>
        <w:br w:type="textWrapping"/>
      </w:r>
      <w:r>
        <w:t>8 pods: 95 / 33.7 = 2.82 s</w:t>
      </w:r>
    </w:p>
    <w:p w14:paraId="59B400FD">
      <w:pPr>
        <w:pStyle w:val="2"/>
        <w:keepNext w:val="0"/>
        <w:keepLines w:val="0"/>
        <w:widowControl/>
        <w:suppressLineNumbers w:val="0"/>
      </w:pPr>
      <w:r>
        <w:t xml:space="preserve">These values are all close to the selected 3000 ms threshold, which supports the internal consistency of the chosen method. Little’s Law also explains the observed latency spikes: once arrival rate approached service capacity, requests accumulated in the queue, so waiting time increased rapidly even when failure rates remained low. In other words, the system could still respond, but only with increasingly poor usability. </w:t>
      </w:r>
    </w:p>
    <w:p w14:paraId="26411592">
      <w:pPr>
        <w:pStyle w:val="2"/>
        <w:keepNext w:val="0"/>
        <w:keepLines w:val="0"/>
        <w:widowControl/>
        <w:suppressLineNumbers w:val="0"/>
      </w:pPr>
      <w:r>
        <w:t xml:space="preserve">The main bottleneck in this architecture is CPU-bound YOLO inference. Each pod was limited to 1 vCPU, so once CPU resources were saturated, extra users mainly increased queueing delay rather than throughput. Horizontal scaling reduced this bottleneck by distributing requests across more pods, but the gains became less efficient at higher pod counts because each request still required expensive image decoding, inference, and annotation. Overall, the results show that Kubernetes scaling improved system capacity effectively, while also revealing the performance limits of running machine learning inference on constrained CPU resources. </w:t>
      </w:r>
    </w:p>
    <w:p w14:paraId="322DED40">
      <w:pPr>
        <w:pStyle w:val="2"/>
        <w:keepNext w:val="0"/>
        <w:keepLines w:val="0"/>
        <w:widowControl/>
        <w:suppressLineNumbers w:val="0"/>
      </w:pPr>
      <w:r>
        <w:t>Table 1. Benchmark results under the 3000 ms latency threshold</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48"/>
        <w:gridCol w:w="2634"/>
        <w:gridCol w:w="1795"/>
      </w:tblGrid>
      <w:tr w14:paraId="51C13F76">
        <w:trPr>
          <w:tblHeader/>
          <w:tblCellSpacing w:w="15" w:type="dxa"/>
        </w:trPr>
        <w:tc>
          <w:tcPr>
            <w:tcW w:w="0" w:type="auto"/>
            <w:shd w:val="clear"/>
            <w:vAlign w:val="center"/>
          </w:tcPr>
          <w:p w14:paraId="2CE5F4C7">
            <w:pPr>
              <w:keepNext w:val="0"/>
              <w:keepLines w:val="0"/>
              <w:widowControl/>
              <w:suppressLineNumbers w:val="0"/>
              <w:jc w:val="center"/>
              <w:rPr>
                <w:b/>
                <w:bCs/>
              </w:rPr>
            </w:pPr>
            <w:r>
              <w:rPr>
                <w:rFonts w:ascii="宋体" w:hAnsi="宋体" w:eastAsia="宋体" w:cs="宋体"/>
                <w:b/>
                <w:bCs/>
                <w:kern w:val="0"/>
                <w:sz w:val="24"/>
                <w:szCs w:val="24"/>
                <w:lang w:val="en-US" w:eastAsia="zh-CN" w:bidi="ar"/>
              </w:rPr>
              <w:t>Pods</w:t>
            </w:r>
          </w:p>
        </w:tc>
        <w:tc>
          <w:tcPr>
            <w:tcW w:w="0" w:type="auto"/>
            <w:shd w:val="clear"/>
            <w:vAlign w:val="center"/>
          </w:tcPr>
          <w:p w14:paraId="0BF86985">
            <w:pPr>
              <w:keepNext w:val="0"/>
              <w:keepLines w:val="0"/>
              <w:widowControl/>
              <w:suppressLineNumbers w:val="0"/>
              <w:jc w:val="center"/>
              <w:rPr>
                <w:b/>
                <w:bCs/>
              </w:rPr>
            </w:pPr>
            <w:r>
              <w:rPr>
                <w:rFonts w:ascii="宋体" w:hAnsi="宋体" w:eastAsia="宋体" w:cs="宋体"/>
                <w:b/>
                <w:bCs/>
                <w:kern w:val="0"/>
                <w:sz w:val="24"/>
                <w:szCs w:val="24"/>
                <w:lang w:val="en-US" w:eastAsia="zh-CN" w:bidi="ar"/>
              </w:rPr>
              <w:t>Maximum acceptable users</w:t>
            </w:r>
          </w:p>
        </w:tc>
        <w:tc>
          <w:tcPr>
            <w:tcW w:w="0" w:type="auto"/>
            <w:shd w:val="clear"/>
            <w:vAlign w:val="center"/>
          </w:tcPr>
          <w:p w14:paraId="52F350D9">
            <w:pPr>
              <w:keepNext w:val="0"/>
              <w:keepLines w:val="0"/>
              <w:widowControl/>
              <w:suppressLineNumbers w:val="0"/>
              <w:jc w:val="center"/>
              <w:rPr>
                <w:b/>
                <w:bCs/>
              </w:rPr>
            </w:pPr>
            <w:r>
              <w:rPr>
                <w:rFonts w:ascii="宋体" w:hAnsi="宋体" w:eastAsia="宋体" w:cs="宋体"/>
                <w:b/>
                <w:bCs/>
                <w:kern w:val="0"/>
                <w:sz w:val="24"/>
                <w:szCs w:val="24"/>
                <w:lang w:val="en-US" w:eastAsia="zh-CN" w:bidi="ar"/>
              </w:rPr>
              <w:t>Throughput (RPS)</w:t>
            </w:r>
          </w:p>
        </w:tc>
      </w:tr>
      <w:tr w14:paraId="001065A3">
        <w:trPr>
          <w:tblCellSpacing w:w="15" w:type="dxa"/>
        </w:trPr>
        <w:tc>
          <w:tcPr>
            <w:tcW w:w="0" w:type="auto"/>
            <w:shd w:val="clear"/>
            <w:vAlign w:val="center"/>
          </w:tcPr>
          <w:p w14:paraId="4431A19F">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vAlign w:val="center"/>
          </w:tcPr>
          <w:p w14:paraId="61B4F6DC">
            <w:pPr>
              <w:keepNext w:val="0"/>
              <w:keepLines w:val="0"/>
              <w:widowControl/>
              <w:suppressLineNumbers w:val="0"/>
              <w:jc w:val="left"/>
            </w:pPr>
            <w:r>
              <w:rPr>
                <w:rFonts w:ascii="宋体" w:hAnsi="宋体" w:eastAsia="宋体" w:cs="宋体"/>
                <w:kern w:val="0"/>
                <w:sz w:val="24"/>
                <w:szCs w:val="24"/>
                <w:lang w:val="en-US" w:eastAsia="zh-CN" w:bidi="ar"/>
              </w:rPr>
              <w:t>17</w:t>
            </w:r>
          </w:p>
        </w:tc>
        <w:tc>
          <w:tcPr>
            <w:tcW w:w="0" w:type="auto"/>
            <w:shd w:val="clear"/>
            <w:vAlign w:val="center"/>
          </w:tcPr>
          <w:p w14:paraId="1DA5FA5C">
            <w:pPr>
              <w:keepNext w:val="0"/>
              <w:keepLines w:val="0"/>
              <w:widowControl/>
              <w:suppressLineNumbers w:val="0"/>
              <w:jc w:val="left"/>
            </w:pPr>
            <w:r>
              <w:rPr>
                <w:rFonts w:ascii="宋体" w:hAnsi="宋体" w:eastAsia="宋体" w:cs="宋体"/>
                <w:kern w:val="0"/>
                <w:sz w:val="24"/>
                <w:szCs w:val="24"/>
                <w:lang w:val="en-US" w:eastAsia="zh-CN" w:bidi="ar"/>
              </w:rPr>
              <w:t>5.8</w:t>
            </w:r>
          </w:p>
        </w:tc>
      </w:tr>
      <w:tr w14:paraId="2F91762F">
        <w:trPr>
          <w:tblCellSpacing w:w="15" w:type="dxa"/>
        </w:trPr>
        <w:tc>
          <w:tcPr>
            <w:tcW w:w="0" w:type="auto"/>
            <w:shd w:val="clear"/>
            <w:vAlign w:val="center"/>
          </w:tcPr>
          <w:p w14:paraId="03FF2CF1">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vAlign w:val="center"/>
          </w:tcPr>
          <w:p w14:paraId="01C826C2">
            <w:pPr>
              <w:keepNext w:val="0"/>
              <w:keepLines w:val="0"/>
              <w:widowControl/>
              <w:suppressLineNumbers w:val="0"/>
              <w:jc w:val="left"/>
            </w:pPr>
            <w:r>
              <w:rPr>
                <w:rFonts w:ascii="宋体" w:hAnsi="宋体" w:eastAsia="宋体" w:cs="宋体"/>
                <w:kern w:val="0"/>
                <w:sz w:val="24"/>
                <w:szCs w:val="24"/>
                <w:lang w:val="en-US" w:eastAsia="zh-CN" w:bidi="ar"/>
              </w:rPr>
              <w:t>35</w:t>
            </w:r>
          </w:p>
        </w:tc>
        <w:tc>
          <w:tcPr>
            <w:tcW w:w="0" w:type="auto"/>
            <w:shd w:val="clear"/>
            <w:vAlign w:val="center"/>
          </w:tcPr>
          <w:p w14:paraId="113FD4CF">
            <w:pPr>
              <w:keepNext w:val="0"/>
              <w:keepLines w:val="0"/>
              <w:widowControl/>
              <w:suppressLineNumbers w:val="0"/>
              <w:jc w:val="left"/>
            </w:pPr>
            <w:r>
              <w:rPr>
                <w:rFonts w:ascii="宋体" w:hAnsi="宋体" w:eastAsia="宋体" w:cs="宋体"/>
                <w:kern w:val="0"/>
                <w:sz w:val="24"/>
                <w:szCs w:val="24"/>
                <w:lang w:val="en-US" w:eastAsia="zh-CN" w:bidi="ar"/>
              </w:rPr>
              <w:t>12.8</w:t>
            </w:r>
          </w:p>
        </w:tc>
      </w:tr>
      <w:tr w14:paraId="7C39092D">
        <w:trPr>
          <w:tblCellSpacing w:w="15" w:type="dxa"/>
        </w:trPr>
        <w:tc>
          <w:tcPr>
            <w:tcW w:w="0" w:type="auto"/>
            <w:shd w:val="clear"/>
            <w:vAlign w:val="center"/>
          </w:tcPr>
          <w:p w14:paraId="4E74BDE3">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shd w:val="clear"/>
            <w:vAlign w:val="center"/>
          </w:tcPr>
          <w:p w14:paraId="495FA5A9">
            <w:pPr>
              <w:keepNext w:val="0"/>
              <w:keepLines w:val="0"/>
              <w:widowControl/>
              <w:suppressLineNumbers w:val="0"/>
              <w:jc w:val="left"/>
            </w:pPr>
            <w:r>
              <w:rPr>
                <w:rFonts w:ascii="宋体" w:hAnsi="宋体" w:eastAsia="宋体" w:cs="宋体"/>
                <w:kern w:val="0"/>
                <w:sz w:val="24"/>
                <w:szCs w:val="24"/>
                <w:lang w:val="en-US" w:eastAsia="zh-CN" w:bidi="ar"/>
              </w:rPr>
              <w:t>65</w:t>
            </w:r>
          </w:p>
        </w:tc>
        <w:tc>
          <w:tcPr>
            <w:tcW w:w="0" w:type="auto"/>
            <w:shd w:val="clear"/>
            <w:vAlign w:val="center"/>
          </w:tcPr>
          <w:p w14:paraId="4BE3E4F0">
            <w:pPr>
              <w:keepNext w:val="0"/>
              <w:keepLines w:val="0"/>
              <w:widowControl/>
              <w:suppressLineNumbers w:val="0"/>
              <w:jc w:val="left"/>
            </w:pPr>
            <w:r>
              <w:rPr>
                <w:rFonts w:ascii="宋体" w:hAnsi="宋体" w:eastAsia="宋体" w:cs="宋体"/>
                <w:kern w:val="0"/>
                <w:sz w:val="24"/>
                <w:szCs w:val="24"/>
                <w:lang w:val="en-US" w:eastAsia="zh-CN" w:bidi="ar"/>
              </w:rPr>
              <w:t>22.8</w:t>
            </w:r>
          </w:p>
        </w:tc>
      </w:tr>
      <w:tr w14:paraId="55BBF7AB">
        <w:trPr>
          <w:tblCellSpacing w:w="15" w:type="dxa"/>
        </w:trPr>
        <w:tc>
          <w:tcPr>
            <w:tcW w:w="0" w:type="auto"/>
            <w:shd w:val="clear"/>
            <w:vAlign w:val="center"/>
          </w:tcPr>
          <w:p w14:paraId="31674946">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shd w:val="clear"/>
            <w:vAlign w:val="center"/>
          </w:tcPr>
          <w:p w14:paraId="5199776E">
            <w:pPr>
              <w:keepNext w:val="0"/>
              <w:keepLines w:val="0"/>
              <w:widowControl/>
              <w:suppressLineNumbers w:val="0"/>
              <w:jc w:val="left"/>
            </w:pPr>
            <w:r>
              <w:rPr>
                <w:rFonts w:ascii="宋体" w:hAnsi="宋体" w:eastAsia="宋体" w:cs="宋体"/>
                <w:kern w:val="0"/>
                <w:sz w:val="24"/>
                <w:szCs w:val="24"/>
                <w:lang w:val="en-US" w:eastAsia="zh-CN" w:bidi="ar"/>
              </w:rPr>
              <w:t>95</w:t>
            </w:r>
          </w:p>
        </w:tc>
        <w:tc>
          <w:tcPr>
            <w:tcW w:w="0" w:type="auto"/>
            <w:shd w:val="clear"/>
            <w:vAlign w:val="center"/>
          </w:tcPr>
          <w:p w14:paraId="69FBF162">
            <w:pPr>
              <w:keepNext w:val="0"/>
              <w:keepLines w:val="0"/>
              <w:widowControl/>
              <w:suppressLineNumbers w:val="0"/>
              <w:jc w:val="left"/>
            </w:pPr>
            <w:r>
              <w:rPr>
                <w:rFonts w:ascii="宋体" w:hAnsi="宋体" w:eastAsia="宋体" w:cs="宋体"/>
                <w:kern w:val="0"/>
                <w:sz w:val="24"/>
                <w:szCs w:val="24"/>
                <w:lang w:val="en-US" w:eastAsia="zh-CN" w:bidi="ar"/>
              </w:rPr>
              <w:t>33.7</w:t>
            </w:r>
          </w:p>
        </w:tc>
      </w:tr>
    </w:tbl>
    <w:p w14:paraId="78EEE71B">
      <w:pPr>
        <w:pStyle w:val="2"/>
        <w:keepNext w:val="0"/>
        <w:keepLines w:val="0"/>
        <w:widowControl/>
        <w:suppressLineNumbers w:val="0"/>
      </w:pPr>
    </w:p>
    <w:p w14:paraId="41632944">
      <w:pPr>
        <w:pStyle w:val="2"/>
        <w:keepNext w:val="0"/>
        <w:keepLines w:val="0"/>
        <w:widowControl/>
        <w:suppressLineNumbers w:val="0"/>
      </w:pPr>
      <w:r>
        <w:drawing>
          <wp:inline distT="0" distB="0" distL="114300" distR="114300">
            <wp:extent cx="4523740" cy="2416810"/>
            <wp:effectExtent l="6350" t="6350" r="16510" b="1524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98B2DC1">
      <w:pPr>
        <w:pStyle w:val="2"/>
        <w:keepNext w:val="0"/>
        <w:keepLines w:val="0"/>
        <w:widowControl/>
        <w:suppressLineNumbers w:val="0"/>
      </w:pPr>
      <w:r>
        <w:t>Figure 1. Pods vs maximum acceptable users.</w:t>
      </w:r>
      <w:r>
        <w:br w:type="textWrapping"/>
      </w:r>
      <w:r>
        <w:drawing>
          <wp:inline distT="0" distB="0" distL="114300" distR="114300">
            <wp:extent cx="4507230" cy="2473325"/>
            <wp:effectExtent l="6350" t="6350" r="7620" b="952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87AF68E">
      <w:pPr>
        <w:pStyle w:val="2"/>
        <w:keepNext w:val="0"/>
        <w:keepLines w:val="0"/>
        <w:widowControl/>
        <w:suppressLineNumbers w:val="0"/>
      </w:pPr>
      <w:r>
        <w:t>Figure 2. Pods vs throughput (RPS).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F0AF5"/>
    <w:rsid w:val="7FB3D69E"/>
    <w:rsid w:val="EFFF0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Users/apple/Github/Monash_Project/5225_Project/Ass_1/CloudEco_Project/locust_test.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Users/apple/Github/Monash_Project/5225_Project/Ass_1/CloudEco_Project/locust_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Pods vs Maximum Acceptable Users</a:t>
            </a: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delete val="1"/>
          </c:dLbls>
          <c:cat>
            <c:numRef>
              <c:f>[locust_test.xlsx]Sheet2!$B$1:$E$1</c:f>
              <c:numCache>
                <c:formatCode>General</c:formatCode>
                <c:ptCount val="4"/>
                <c:pt idx="0">
                  <c:v>1</c:v>
                </c:pt>
                <c:pt idx="1">
                  <c:v>2</c:v>
                </c:pt>
                <c:pt idx="2">
                  <c:v>4</c:v>
                </c:pt>
                <c:pt idx="3">
                  <c:v>8</c:v>
                </c:pt>
              </c:numCache>
            </c:numRef>
          </c:cat>
          <c:val>
            <c:numRef>
              <c:f>[locust_test.xlsx]Sheet2!$B$2:$E$2</c:f>
              <c:numCache>
                <c:formatCode>General</c:formatCode>
                <c:ptCount val="4"/>
                <c:pt idx="0">
                  <c:v>17</c:v>
                </c:pt>
                <c:pt idx="1">
                  <c:v>35</c:v>
                </c:pt>
                <c:pt idx="2">
                  <c:v>65</c:v>
                </c:pt>
                <c:pt idx="3">
                  <c:v>95</c:v>
                </c:pt>
              </c:numCache>
            </c:numRef>
          </c:val>
        </c:ser>
        <c:dLbls>
          <c:showLegendKey val="0"/>
          <c:showVal val="0"/>
          <c:showCatName val="0"/>
          <c:showSerName val="0"/>
          <c:showPercent val="0"/>
          <c:showBubbleSize val="0"/>
        </c:dLbls>
        <c:gapWidth val="150"/>
        <c:overlap val="0"/>
        <c:axId val="761566656"/>
        <c:axId val="465899394"/>
      </c:barChart>
      <c:catAx>
        <c:axId val="761566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pod</a:t>
                </a:r>
                <a:r>
                  <a:rPr lang="en-US" altLang="zh-CN"/>
                  <a:t>s number</a:t>
                </a:r>
                <a:endParaRPr lang="en-US" altLang="zh-CN"/>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65899394"/>
        <c:crosses val="autoZero"/>
        <c:auto val="0"/>
        <c:lblAlgn val="ctr"/>
        <c:lblOffset val="100"/>
        <c:noMultiLvlLbl val="0"/>
      </c:catAx>
      <c:valAx>
        <c:axId val="465899394"/>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max acceptable users</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1566656"/>
        <c:crosses val="autoZero"/>
        <c:crossBetween val="between"/>
      </c:valAx>
      <c:spPr>
        <a:noFill/>
        <a:ln>
          <a:noFill/>
        </a:ln>
        <a:effectLst/>
      </c:spPr>
    </c:plotArea>
    <c:plotVisOnly val="1"/>
    <c:dispBlanksAs val="gap"/>
    <c:showDLblsOverMax val="0"/>
    <c:extLst>
      <c:ext uri="{0b15fc19-7d7d-44ad-8c2d-2c3a37ce22c3}">
        <chartProps xmlns="https://web.wps.cn/et/2018/main" chartId="{aff328d5-d215-4afa-942c-cd3ce42099e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Pods vs Throughput (RPS)</a:t>
            </a: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delete val="1"/>
          </c:dLbls>
          <c:cat>
            <c:numRef>
              <c:f>[locust_test.xlsx]Sheet2!$B$6:$E$6</c:f>
              <c:numCache>
                <c:formatCode>General</c:formatCode>
                <c:ptCount val="4"/>
                <c:pt idx="0">
                  <c:v>1</c:v>
                </c:pt>
                <c:pt idx="1">
                  <c:v>2</c:v>
                </c:pt>
                <c:pt idx="2">
                  <c:v>4</c:v>
                </c:pt>
                <c:pt idx="3">
                  <c:v>8</c:v>
                </c:pt>
              </c:numCache>
            </c:numRef>
          </c:cat>
          <c:val>
            <c:numRef>
              <c:f>[locust_test.xlsx]Sheet2!$B$7:$E$7</c:f>
              <c:numCache>
                <c:formatCode>General</c:formatCode>
                <c:ptCount val="4"/>
                <c:pt idx="0">
                  <c:v>5.8</c:v>
                </c:pt>
                <c:pt idx="1">
                  <c:v>12.8</c:v>
                </c:pt>
                <c:pt idx="2">
                  <c:v>22.7</c:v>
                </c:pt>
                <c:pt idx="3">
                  <c:v>32.8</c:v>
                </c:pt>
              </c:numCache>
            </c:numRef>
          </c:val>
        </c:ser>
        <c:dLbls>
          <c:showLegendKey val="0"/>
          <c:showVal val="0"/>
          <c:showCatName val="0"/>
          <c:showSerName val="0"/>
          <c:showPercent val="0"/>
          <c:showBubbleSize val="0"/>
        </c:dLbls>
        <c:gapWidth val="150"/>
        <c:overlap val="0"/>
        <c:axId val="668531791"/>
        <c:axId val="625074687"/>
      </c:barChart>
      <c:catAx>
        <c:axId val="668531791"/>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pods number</a:t>
                </a:r>
                <a:endParaRPr lang="en-US" altLang="zh-CN"/>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5074687"/>
        <c:crosses val="autoZero"/>
        <c:auto val="1"/>
        <c:lblAlgn val="ctr"/>
        <c:lblOffset val="100"/>
        <c:noMultiLvlLbl val="0"/>
      </c:catAx>
      <c:valAx>
        <c:axId val="625074687"/>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t</a:t>
                </a:r>
                <a:r>
                  <a:t>hroughput (RPS)</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8531791"/>
        <c:crosses val="autoZero"/>
        <c:crossBetween val="between"/>
      </c:valAx>
      <c:spPr>
        <a:noFill/>
        <a:ln>
          <a:noFill/>
        </a:ln>
        <a:effectLst/>
      </c:spPr>
    </c:plotArea>
    <c:plotVisOnly val="1"/>
    <c:dispBlanksAs val="gap"/>
    <c:showDLblsOverMax val="0"/>
    <c:extLst>
      <c:ext uri="{0b15fc19-7d7d-44ad-8c2d-2c3a37ce22c3}">
        <chartProps xmlns="https://web.wps.cn/et/2018/main" chartId="{48503386-e435-421e-9470-3b509638a44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2026-04-30T23:17:00Z</dcterms:created>
  <dc:creator>豊田稔_2号</dc:creator>
  <cp:lastModifiedBy>豊田稔_2号</cp:lastModifiedBy>
  <dcterms:modified xsi:type="dcterms:W3CDTF">2026-04-30T23:23:06Z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2361668301BF28808556F36956A4F833_41</vt:lpwstr>
  </property>
</Properties>
</file>