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 w:after="320"/>
        <w:jc w:val="center"/>
      </w:pPr>
      <w:r>
        <w:rPr>
          <w:rFonts w:ascii="Aptos Display" w:hAnsi="Aptos Display" w:eastAsia="Microsoft YaHei"/>
          <w:b/>
          <w:color w:val="000000"/>
          <w:sz w:val="50"/>
        </w:rPr>
        <w:t>Group050 Keshu Contribution Walkthrough</w:t>
      </w:r>
    </w:p>
    <w:p>
      <w:pPr>
        <w:spacing w:after="560"/>
        <w:jc w:val="center"/>
      </w:pPr>
      <w:r>
        <w:rPr>
          <w:rFonts w:ascii="Aptos" w:hAnsi="Aptos" w:eastAsia="Microsoft YaHei"/>
          <w:b/>
          <w:color w:val="17365D"/>
          <w:sz w:val="28"/>
        </w:rPr>
        <w:t>Task 2 to Task 6  中英双语代码与分析说明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4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Member</w:t>
            </w:r>
          </w:p>
        </w:tc>
        <w:tc>
          <w:tcPr>
            <w:tcW w:type="dxa" w:w="74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20"/>
              </w:rPr>
              <w:t>Keshu Zhang  36436763</w:t>
            </w:r>
          </w:p>
        </w:tc>
      </w:tr>
      <w:tr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Assigned domain</w:t>
            </w:r>
          </w:p>
        </w:tc>
        <w:tc>
          <w:tcPr>
            <w:tcW w:type="dxa" w:w="74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20"/>
              </w:rPr>
              <w:t>Products and product reviews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Task 3 ownership</w:t>
            </w:r>
          </w:p>
        </w:tc>
        <w:tc>
          <w:tcPr>
            <w:tcW w:type="dxa" w:w="74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20"/>
              </w:rPr>
              <w:t>build_latin_analysis and contains_non_latin_script</w:t>
            </w:r>
          </w:p>
        </w:tc>
      </w:tr>
      <w:tr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EDA ownership</w:t>
            </w:r>
          </w:p>
        </w:tc>
        <w:tc>
          <w:tcPr>
            <w:tcW w:type="dxa" w:w="74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20"/>
              </w:rPr>
              <w:t>Figures 7–8  Findings 9–10  MLQ 4–5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20"/>
              </w:rPr>
              <w:t>Purpose</w:t>
            </w:r>
          </w:p>
        </w:tc>
        <w:tc>
          <w:tcPr>
            <w:tcW w:type="dxa" w:w="74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20"/>
              </w:rPr>
              <w:t>Individual understanding and group handover  个人复习与小组交接</w:t>
            </w:r>
          </w:p>
        </w:tc>
      </w:tr>
    </w:tbl>
    <w:p>
      <w:pPr>
        <w:spacing w:after="20"/>
      </w:pP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本说明按照小组任务划分整理本人负责的代码、验证、EDA图表、发现与机器学习问题。它用于解释代码和证明个人理解，不替代正式提交文件。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This walkthrough explains the code, validation, EDA figures, findings and machine-learning questions assigned to me. It supports individual understanding and team handover; it is not a substitute for the submitted notebooks and CSV files.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4"/>
        </w:rPr>
        <w:t>1 Personal Scope and End to End Flow  个人范围与整体流程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53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My responsibility  我的职责</w:t>
            </w:r>
          </w:p>
        </w:tc>
        <w:tc>
          <w:tcPr>
            <w:tcW w:type="dxa" w:w="36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Current evidence  当前证据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8"/>
              </w:rPr>
              <w:t>Task 2</w:t>
            </w:r>
          </w:p>
        </w:tc>
        <w:tc>
          <w:tcPr>
            <w:tcW w:type="dxa" w:w="53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8"/>
              </w:rPr>
              <w:t>Build products and product_reviews</w:t>
            </w:r>
          </w:p>
        </w:tc>
        <w:tc>
          <w:tcPr>
            <w:tcW w:type="dxa" w:w="36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8"/>
              </w:rPr>
              <w:t>1,000 × 21 and 7,000 × 21</w:t>
            </w:r>
          </w:p>
        </w:tc>
      </w:tr>
      <w:tr>
        <w:tc>
          <w:tcPr>
            <w:tcW w:type="dxa" w:w="11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8"/>
              </w:rPr>
              <w:t>Task 3.4</w:t>
            </w:r>
          </w:p>
        </w:tc>
        <w:tc>
          <w:tcPr>
            <w:tcW w:type="dxa" w:w="53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8"/>
              </w:rPr>
              <w:t>Multilingual text functions</w:t>
            </w:r>
          </w:p>
        </w:tc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8"/>
              </w:rPr>
              <w:t>2 public functions integrated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8"/>
              </w:rPr>
              <w:t>Task 4</w:t>
            </w:r>
          </w:p>
        </w:tc>
        <w:tc>
          <w:tcPr>
            <w:tcW w:type="dxa" w:w="53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8"/>
              </w:rPr>
              <w:t>Products reviews text and final validation integration</w:t>
            </w:r>
          </w:p>
        </w:tc>
        <w:tc>
          <w:tcPr>
            <w:tcW w:type="dxa" w:w="36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8"/>
              </w:rPr>
              <w:t>20 checks PASS</w:t>
            </w:r>
          </w:p>
        </w:tc>
      </w:tr>
      <w:tr>
        <w:tc>
          <w:tcPr>
            <w:tcW w:type="dxa" w:w="11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8"/>
              </w:rPr>
              <w:t>Task 5</w:t>
            </w:r>
          </w:p>
        </w:tc>
        <w:tc>
          <w:tcPr>
            <w:tcW w:type="dxa" w:w="53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8"/>
              </w:rPr>
              <w:t>Figures 7 and 8</w:t>
            </w:r>
          </w:p>
        </w:tc>
        <w:tc>
          <w:tcPr>
            <w:tcW w:type="dxa" w:w="36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8"/>
              </w:rPr>
              <w:t>Both reproduced in EDA notebook</w:t>
            </w:r>
          </w:p>
        </w:tc>
      </w:tr>
      <w:tr>
        <w:tc>
          <w:tcPr>
            <w:tcW w:type="dxa" w:w="11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8"/>
              </w:rPr>
              <w:t>Task 6</w:t>
            </w:r>
          </w:p>
        </w:tc>
        <w:tc>
          <w:tcPr>
            <w:tcW w:type="dxa" w:w="53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8"/>
              </w:rPr>
              <w:t>Findings 9–10 and MLQ 4–5</w:t>
            </w:r>
          </w:p>
        </w:tc>
        <w:tc>
          <w:tcPr>
            <w:tcW w:type="dxa" w:w="36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8"/>
              </w:rPr>
              <w:t>Aligned to Figures 7–8</w:t>
            </w:r>
          </w:p>
        </w:tc>
      </w:tr>
    </w:tbl>
    <w:p>
      <w:pPr>
        <w:spacing w:after="20"/>
      </w:pP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我的工作链条是：先依赖Task 1得到结构化XML和JSON记录及数据字典；再建立两张标准化表；随后执行字段、主外键、重复、文本和多语言验证；最后用两张表完成Figures 7–8，并据此写Findings 9–10和MLQ 4–5。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My workflow begins with the structured JSON/XML records and public dictionary created in Task 1. I then construct the two standardised tables, validate schema, keys, duplication, text and multilingual fields, and finally use the tables for Figures 7–8, Findings 9–10 and MLQ 4–5.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1.1 Dependencies  对其他成员工作的依赖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47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How my component uses it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clean_narrative_text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Orders and order items owner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Cleans product descriptions and review bodies</w:t>
            </w:r>
          </w:p>
        </w:tc>
      </w:tr>
      <w:tr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extract_order_reference</w:t>
            </w:r>
          </w:p>
        </w:tc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Customers owner</w:t>
            </w:r>
          </w:p>
        </w:tc>
        <w:tc>
          <w:tcPr>
            <w:tcW w:type="dxa" w:w="47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Extracts an embedded HORD or CORD reference before cleaning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extract_product_sku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Deliveries owner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Extracts an embedded SKU before cleaning</w:t>
            </w:r>
          </w:p>
        </w:tc>
      </w:tr>
      <w:tr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orders order_items customers</w:t>
            </w:r>
          </w:p>
        </w:tc>
        <w:tc>
          <w:tcPr>
            <w:tcW w:type="dxa" w:w="28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Other Task 2 owners</w:t>
            </w:r>
          </w:p>
        </w:tc>
        <w:tc>
          <w:tcPr>
            <w:tcW w:type="dxa" w:w="47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Required for product-review foreign-key validation</w:t>
            </w:r>
          </w:p>
        </w:tc>
      </w:tr>
      <w:tr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All component validation rows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All members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Required before final validation-register integration</w:t>
            </w:r>
          </w:p>
        </w:tc>
      </w:tr>
    </w:tbl>
    <w:p>
      <w:pPr>
        <w:spacing w:after="20"/>
      </w:pP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重要边界：调用共享函数不等于拥有该函数。我的个人Task 3贡献仅为build_latin_analysis和contains_non_latin_script。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Important ownership boundary: calling a shared function does not mean that I authored it. My personal Task 3 contribution is limited to build_latin_analysis and contains_non_latin_script.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4"/>
        </w:rPr>
        <w:t>2 Task 2 Products Table  产品表</w:t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目标粒度是一行对应一个product_id。产品数据来自结构化解析后的XML ProductCatalogue/Product记录，输出字段顺序由public_data_dictionary.csv动态取得。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The target grain is one row per product_id. Product data comes from the structurally parsed XML ProductCatalogue/Product records, and the output field order is read dynamically from public_data_dictionary.csv.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2.1 Processing sequence  处理顺序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检查Task 1生成的XML产品记录和数据字典对象是否存在。</w:t>
      </w:r>
      <w:r>
        <w:rPr>
          <w:rFonts w:ascii="Aptos" w:hAnsi="Aptos" w:eastAsia="Microsoft YaHei"/>
          <w:color w:val="404040"/>
          <w:sz w:val="19"/>
        </w:rPr>
        <w:t xml:space="preserve"> / Check that the Task 1 XML product records and dictionary objects exist.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读取数据字典中的21个产品目标字段及顺序。</w:t>
      </w:r>
      <w:r>
        <w:rPr>
          <w:rFonts w:ascii="Aptos" w:hAnsi="Aptos" w:eastAsia="Microsoft YaHei"/>
          <w:color w:val="404040"/>
          <w:sz w:val="19"/>
        </w:rPr>
        <w:t xml:space="preserve"> / Read the 21 Product target columns and their order from the public dictionary.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逐条标准化文本、货币、整数、数值、日期和布尔值。</w:t>
      </w:r>
      <w:r>
        <w:rPr>
          <w:rFonts w:ascii="Aptos" w:hAnsi="Aptos" w:eastAsia="Microsoft YaHei"/>
          <w:color w:val="404040"/>
          <w:sz w:val="19"/>
        </w:rPr>
        <w:t xml:space="preserve"> / Standardise text, currency, integer, numeric, date and boolean values record by record.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清洗product_description_clean，并优先调用已加载的共享clean_narrative_text。</w:t>
      </w:r>
      <w:r>
        <w:rPr>
          <w:rFonts w:ascii="Aptos" w:hAnsi="Aptos" w:eastAsia="Microsoft YaHei"/>
          <w:color w:val="404040"/>
          <w:sz w:val="19"/>
        </w:rPr>
        <w:t xml:space="preserve"> / Create product_description_clean, delegating to the shared clean_narrative_text when available.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按product_id分组，比较重复记录的各字段，而不是静默选择某个来源。</w:t>
      </w:r>
      <w:r>
        <w:rPr>
          <w:rFonts w:ascii="Aptos" w:hAnsi="Aptos" w:eastAsia="Microsoft YaHei"/>
          <w:color w:val="404040"/>
          <w:sz w:val="19"/>
        </w:rPr>
        <w:t xml:space="preserve"> / Group by product_id and compare duplicate records field by field rather than silently choosing one value.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若发现多个不同的非空标准化值，则记录冲突并停止。</w:t>
      </w:r>
      <w:r>
        <w:rPr>
          <w:rFonts w:ascii="Aptos" w:hAnsi="Aptos" w:eastAsia="Microsoft YaHei"/>
          <w:color w:val="404040"/>
          <w:sz w:val="19"/>
        </w:rPr>
        <w:t xml:space="preserve"> / Record and stop on multiple distinct non-missing normalised values.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保留精确字段顺序，按product_id稳定排序并执行即时构造检查。</w:t>
      </w:r>
      <w:r>
        <w:rPr>
          <w:rFonts w:ascii="Aptos" w:hAnsi="Aptos" w:eastAsia="Microsoft YaHei"/>
          <w:color w:val="404040"/>
          <w:sz w:val="19"/>
        </w:rPr>
        <w:t xml:space="preserve"> / Preserve exact column order, sort deterministically by product_id and run immediate construction guards.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2.2 Main helper functions  主要辅助函数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9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What it does  作用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Why it is needed  原因</w:t>
            </w:r>
          </w:p>
        </w:tc>
      </w:tr>
      <w:tr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_normalise_required_product_text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Trim and NFC-normalise required text; reject missing/empty input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Preserves leading zeros and category/identifier case</w:t>
            </w:r>
          </w:p>
        </w:tc>
      </w:tr>
      <w:tr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_parse_product_currency</w:t>
            </w:r>
          </w:p>
        </w:tc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Remove AUD and commas; Decimal conversion; 2-decimal rounding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Prevents currency labels from corrupting numeric conversion</w:t>
            </w:r>
          </w:p>
        </w:tc>
      </w:tr>
      <w:tr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_parse_product_integer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Convert only mathematically integral values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Avoids silently rounding invalid values</w:t>
            </w:r>
          </w:p>
        </w:tc>
      </w:tr>
      <w:tr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_parse_product_number</w:t>
            </w:r>
          </w:p>
        </w:tc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Convert measurements through Decimal to float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Retains published measurement precision</w:t>
            </w:r>
          </w:p>
        </w:tc>
      </w:tr>
      <w:tr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_parse_product_date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DD/MM/YYYY to YYYY-MM-DD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Matches target date format</w:t>
            </w:r>
          </w:p>
        </w:tc>
      </w:tr>
      <w:tr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_parse_product_boolean</w:t>
            </w:r>
          </w:p>
        </w:tc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Y/N to True/False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Matches target boolean contract</w:t>
            </w:r>
          </w:p>
        </w:tc>
      </w:tr>
      <w:tr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_clean_product_description_for_task2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Shared cleaner or equivalent private fallback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Allows Task 2 to build while keeping Task 3 ownership separate</w:t>
            </w:r>
          </w:p>
        </w:tc>
      </w:tr>
      <w:tr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_standardise_product_record</w:t>
            </w:r>
          </w:p>
        </w:tc>
        <w:tc>
          <w:tcPr>
            <w:tcW w:type="dxa" w:w="367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Map one XML Product to exactly 21 target fields</w:t>
            </w:r>
          </w:p>
        </w:tc>
        <w:tc>
          <w:tcPr>
            <w:tcW w:type="dxa" w:w="34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Maintains one-record one-product grain</w:t>
            </w:r>
          </w:p>
        </w:tc>
      </w:tr>
      <w:tr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_reconcile_product_candidates</w:t>
            </w:r>
          </w:p>
        </w:tc>
        <w:tc>
          <w:tcPr>
            <w:tcW w:type="dxa" w:w="36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Compare duplicates by product_id and field</w:t>
            </w:r>
          </w:p>
        </w:tc>
        <w:tc>
          <w:tcPr>
            <w:tcW w:type="dxa" w:w="34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Exposes conflicts instead of applying source precedence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2.3 Output and issues handled  输出与问题处理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1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1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Observed result</w:t>
            </w:r>
          </w:p>
        </w:tc>
        <w:tc>
          <w:tcPr>
            <w:tcW w:type="dxa" w:w="47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Rows and columns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1,000 rows × 21 columns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One canonical row per product</w:t>
            </w:r>
          </w:p>
        </w:tc>
      </w:tr>
      <w:tr>
        <w:tc>
          <w:tcPr>
            <w:tcW w:type="dxa" w:w="21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Primary key</w:t>
            </w:r>
          </w:p>
        </w:tc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0 missing and 0 duplicated product_id</w:t>
            </w:r>
          </w:p>
        </w:tc>
        <w:tc>
          <w:tcPr>
            <w:tcW w:type="dxa" w:w="47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Product grain is preserved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Reconciliation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0 field-level conflicts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Normalised duplicates agree</w:t>
            </w:r>
          </w:p>
        </w:tc>
      </w:tr>
      <w:tr>
        <w:tc>
          <w:tcPr>
            <w:tcW w:type="dxa" w:w="21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Missing strings</w:t>
            </w:r>
          </w:p>
        </w:tc>
        <w:tc>
          <w:tcPr>
            <w:tcW w:type="dxa" w:w="31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0 blank cells; 0 unintended missing values</w:t>
            </w:r>
          </w:p>
        </w:tc>
        <w:tc>
          <w:tcPr>
            <w:tcW w:type="dxa" w:w="47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Current source happens not to require a literal NaN in product strings</w:t>
            </w:r>
          </w:p>
        </w:tc>
      </w:tr>
      <w:tr>
        <w:tc>
          <w:tcPr>
            <w:tcW w:type="dxa" w:w="21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Schema</w:t>
            </w:r>
          </w:p>
        </w:tc>
        <w:tc>
          <w:tcPr>
            <w:tcW w:type="dxa" w:w="31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Exact data-dictionary columns and order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No helper or EDA-only columns exported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4"/>
        </w:rPr>
        <w:t>3 Task 2 Product Reviews Table  产品评论表</w:t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目标粒度是一行对应一个canonical review_id。评论同时来自JSON和XML，因此先分别标准化，再合并候选记录，并按review_id进行字段级协调。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The target grain is one row per canonical review_id. Reviews occur in both JSON and XML, so each source is standardised separately, the candidates are combined, and rows are reconciled field by field using review_id.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3.1 Correct order of text operations  文本操作的正确顺序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49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1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Read raw review text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References still exist in the raw string</w:t>
            </w:r>
          </w:p>
        </w:tc>
      </w:tr>
      <w:tr>
        <w:tc>
          <w:tcPr>
            <w:tcW w:type="dxa" w:w="7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2</w:t>
            </w:r>
          </w:p>
        </w:tc>
        <w:tc>
          <w:tcPr>
            <w:tcW w:type="dxa" w:w="4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extract_order_reference and extract_product_sku</w:t>
            </w:r>
          </w:p>
        </w:tc>
        <w:tc>
          <w:tcPr>
            <w:tcW w:type="dxa" w:w="49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Extraction must happen before the reference wrapper is removed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3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clean_narrative_text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Produce review_body_clean while preserving multilingual text</w:t>
            </w:r>
          </w:p>
        </w:tc>
      </w:tr>
      <w:tr>
        <w:tc>
          <w:tcPr>
            <w:tcW w:type="dxa" w:w="7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4</w:t>
            </w:r>
          </w:p>
        </w:tc>
        <w:tc>
          <w:tcPr>
            <w:tcW w:type="dxa" w:w="4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build_latin_analysis(review_body_clean)</w:t>
            </w:r>
          </w:p>
        </w:tc>
        <w:tc>
          <w:tcPr>
            <w:tcW w:type="dxa" w:w="49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Create the separate Latin-only analytical representation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5</w:t>
            </w:r>
          </w:p>
        </w:tc>
        <w:tc>
          <w:tcPr>
            <w:tcW w:type="dxa" w:w="460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contains_non_latin_script(review_body_clean)</w:t>
            </w:r>
          </w:p>
        </w:tc>
        <w:tc>
          <w:tcPr>
            <w:tcW w:type="dxa" w:w="49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Create the non-Latin-script indicator</w:t>
            </w:r>
          </w:p>
        </w:tc>
      </w:tr>
      <w:tr>
        <w:tc>
          <w:tcPr>
            <w:tcW w:type="dxa" w:w="79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6</w:t>
            </w:r>
          </w:p>
        </w:tc>
        <w:tc>
          <w:tcPr>
            <w:tcW w:type="dxa" w:w="4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Derive character and whitespace-token counts</w:t>
            </w:r>
          </w:p>
        </w:tc>
        <w:tc>
          <w:tcPr>
            <w:tcW w:type="dxa" w:w="49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Both measures must be based on review_body_clean</w:t>
            </w:r>
          </w:p>
        </w:tc>
      </w:tr>
    </w:tbl>
    <w:p>
      <w:pPr>
        <w:spacing w:after="20"/>
      </w:pP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顺序不能交换。若先执行clean_narrative_text，完整的Reference和SKU wrapper会被删除，之后将无法提取embedded reference。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The order is not interchangeable. If clean_narrative_text runs first, the complete Reference and SKU wrapper is removed and the embedded references can no longer be extracted.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3.2 Source differences and standardisation  来源差异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Field type</w:t>
            </w:r>
          </w:p>
        </w:tc>
        <w:tc>
          <w:tcPr>
            <w:tcW w:type="dxa" w:w="26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JSON representation</w:t>
            </w:r>
          </w:p>
        </w:tc>
        <w:tc>
          <w:tcPr>
            <w:tcW w:type="dxa" w:w="26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XML representation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Field names</w:t>
            </w:r>
          </w:p>
        </w:tc>
        <w:tc>
          <w:tcPr>
            <w:tcW w:type="dxa" w:w="26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camelCase</w:t>
            </w:r>
          </w:p>
        </w:tc>
        <w:tc>
          <w:tcPr>
            <w:tcW w:type="dxa" w:w="26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Title_Case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snake_case</w:t>
            </w:r>
          </w:p>
        </w:tc>
      </w:tr>
      <w:tr>
        <w:tc>
          <w:tcPr>
            <w:tcW w:type="dxa" w:w="18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Timestamp</w:t>
            </w:r>
          </w:p>
        </w:tc>
        <w:tc>
          <w:tcPr>
            <w:tcW w:type="dxa" w:w="26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YYYY-MM-DD HH:MM:SS</w:t>
            </w:r>
          </w:p>
        </w:tc>
        <w:tc>
          <w:tcPr>
            <w:tcW w:type="dxa" w:w="26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DD/MM/YYYY HH:MM:SS</w:t>
            </w:r>
          </w:p>
        </w:tc>
        <w:tc>
          <w:tcPr>
            <w:tcW w:type="dxa" w:w="32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YYYY-MM-DD HH:MM:SS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Boolean</w:t>
            </w:r>
          </w:p>
        </w:tc>
        <w:tc>
          <w:tcPr>
            <w:tcW w:type="dxa" w:w="26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true or false</w:t>
            </w:r>
          </w:p>
        </w:tc>
        <w:tc>
          <w:tcPr>
            <w:tcW w:type="dxa" w:w="26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Y or N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True or False</w:t>
            </w:r>
          </w:p>
        </w:tc>
      </w:tr>
      <w:tr>
        <w:tc>
          <w:tcPr>
            <w:tcW w:type="dxa" w:w="180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Integer</w:t>
            </w:r>
          </w:p>
        </w:tc>
        <w:tc>
          <w:tcPr>
            <w:tcW w:type="dxa" w:w="26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JSON number</w:t>
            </w:r>
          </w:p>
        </w:tc>
        <w:tc>
          <w:tcPr>
            <w:tcW w:type="dxa" w:w="26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XML text</w:t>
            </w:r>
          </w:p>
        </w:tc>
        <w:tc>
          <w:tcPr>
            <w:tcW w:type="dxa" w:w="32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Python integer then CSV numeric text</w:t>
            </w:r>
          </w:p>
        </w:tc>
      </w:tr>
      <w:tr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Narrative</w:t>
            </w:r>
          </w:p>
        </w:tc>
        <w:tc>
          <w:tcPr>
            <w:tcW w:type="dxa" w:w="26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Raw multilingual reviewText</w:t>
            </w:r>
          </w:p>
        </w:tc>
        <w:tc>
          <w:tcPr>
            <w:tcW w:type="dxa" w:w="26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Raw multilingual Review_Text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Clean text plus derived fields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3.3 Reconciliation and row flow  重复与重叠处理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Rows or keys</w:t>
            </w:r>
          </w:p>
        </w:tc>
        <w:tc>
          <w:tcPr>
            <w:tcW w:type="dxa" w:w="51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Structured JSON rows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3,946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Includes 96 within-source duplicate rows</w:t>
            </w:r>
          </w:p>
        </w:tc>
      </w:tr>
      <w:tr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Structured XML rows</w:t>
            </w:r>
          </w:p>
        </w:tc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3,946</w:t>
            </w:r>
          </w:p>
        </w:tc>
        <w:tc>
          <w:tcPr>
            <w:tcW w:type="dxa" w:w="51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Includes 96 within-source duplicate rows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Unique keys per source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3,850 each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Duplicates removed conceptually by review_id</w:t>
            </w:r>
          </w:p>
        </w:tc>
      </w:tr>
      <w:tr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Cross-source overlap</w:t>
            </w:r>
          </w:p>
        </w:tc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700 review_id values</w:t>
            </w:r>
          </w:p>
        </w:tc>
        <w:tc>
          <w:tcPr>
            <w:tcW w:type="dxa" w:w="51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Same canonical review appears in both sources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Combined candidates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7,892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All normalised rows before reconciliation</w:t>
            </w:r>
          </w:p>
        </w:tc>
      </w:tr>
      <w:tr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Union of review keys</w:t>
            </w:r>
          </w:p>
        </w:tc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7,000</w:t>
            </w:r>
          </w:p>
        </w:tc>
        <w:tc>
          <w:tcPr>
            <w:tcW w:type="dxa" w:w="51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Expected canonical key set</w:t>
            </w:r>
          </w:p>
        </w:tc>
      </w:tr>
      <w:tr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Final output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7,000 rows × 21 columns</w:t>
            </w:r>
          </w:p>
        </w:tc>
        <w:tc>
          <w:tcPr>
            <w:tcW w:type="dxa" w:w="51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One canonical row per review_id</w:t>
            </w:r>
          </w:p>
        </w:tc>
      </w:tr>
      <w:tr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Field-level conflicts</w:t>
            </w:r>
          </w:p>
        </w:tc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0</w:t>
            </w:r>
          </w:p>
        </w:tc>
        <w:tc>
          <w:tcPr>
            <w:tcW w:type="dxa" w:w="51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Overlapping normalised rows agree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4"/>
        </w:rPr>
        <w:t>4 Task 3 4 Multilingual Functions  多语言函数</w:t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这两个函数是我的明确Task 3个人贡献。它们是纯函数：不读写文件、不访问网络、不依赖特定行号，只根据输入返回确定结果。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These two functions are my explicit individual Task 3 contribution. They are pure functions: they perform no file I/O or network access, use no row-specific lookup, and return a deterministic result for the supplied input.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4.1 build_latin_analysis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>def build_latin_analysis(value):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"""Accept cleaned multilingual text; return Latin analysis or 'NaN'."""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if not isinstance(value, str) or value == _LITERAL_NAN: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return _LITERAL_NAN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text = unicodedata.normalize("NFC", value)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output_characters = []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contains_latin_letter = False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previous_character_was_latin = False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for character in text: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category = unicodedata.category(character)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unicode_name = unicodedata.name(character, "")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if category.startswith("L"):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if "LATIN" in unicode_name: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    output_characters.append(character)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    contains_latin_letter = True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    previous_character_was_latin = True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else: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    # Avoid joining Latin words that surrounded removed script.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    output_characters.append(" ")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    previous_character_was_latin = False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elif category.startswith("M"):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# Keep a combining mark only when it belongs to retained Latin.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if previous_character_was_latin: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    output_characters.append(character)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else: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output_characters.append(character)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    previous_character_was_latin = False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result = re.sub(r"\s+", " ", "".join(output_characters)).strip()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return result if contains_latin_letter and result else _LITERAL_NAN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01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Code stage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中文理解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English explanation</w:t>
            </w:r>
          </w:p>
        </w:tc>
      </w:tr>
      <w:tr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Input guard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非字符串或字面量NaN直接返回NaN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Reject unsupported input and preserve the literal sentinel</w:t>
            </w:r>
          </w:p>
        </w:tc>
      </w:tr>
      <w:tr>
        <w:tc>
          <w:tcPr>
            <w:tcW w:type="dxa" w:w="201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NFC normalisation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统一组合字符表示，例如带变音符号的Latin字母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Normalise canonically equivalent Unicode sequences</w:t>
            </w:r>
          </w:p>
        </w:tc>
      </w:tr>
      <w:tr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Unicode category L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只把字符类别为Letter的字符当作字母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Treat Unicode Letter categories as letters</w:t>
            </w:r>
          </w:p>
        </w:tc>
      </w:tr>
      <w:tr>
        <w:tc>
          <w:tcPr>
            <w:tcW w:type="dxa" w:w="201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LATIN in Unicode name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保留Latin字母，包括é等字符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Retain Latin-script letters including diacritics</w:t>
            </w:r>
          </w:p>
        </w:tc>
      </w:tr>
      <w:tr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Other-script letter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删除非Latin字母并插入空格，防止前后Latin词被错误拼接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Remove non-Latin letters and insert a separator to avoid joining surrounding Latin words</w:t>
            </w:r>
          </w:p>
        </w:tc>
      </w:tr>
      <w:tr>
        <w:tc>
          <w:tcPr>
            <w:tcW w:type="dxa" w:w="201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Combining marks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只有紧跟已保留Latin字母时才保留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Keep a combining mark only when it belongs to retained Latin text</w:t>
            </w:r>
          </w:p>
        </w:tc>
      </w:tr>
      <w:tr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Digits punctuation spaces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保留数字、标点和其他非字母字符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Retain permitted non-letter characters</w:t>
            </w:r>
          </w:p>
        </w:tc>
      </w:tr>
      <w:tr>
        <w:tc>
          <w:tcPr>
            <w:tcW w:type="dxa" w:w="201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Final result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合并空格；没有Latin字母则返回NaN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Collapse whitespace; return NaN when no Latin letter remains</w:t>
            </w:r>
          </w:p>
        </w:tc>
      </w:tr>
    </w:tbl>
    <w:p>
      <w:pPr>
        <w:spacing w:after="20"/>
      </w:pP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关键原理是使用unicodedata.category和unicodedata.name判断脚本，而不是使用ASCII范围。这样é会被正确保留，中文或日文字母会被删除。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The key principle is script-aware Unicode classification through unicodedata.category and unicodedata.name rather than an ASCII range test. This preserves characters such as é while removing Chinese or Japanese letters.</w:t>
      </w:r>
    </w:p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4.2 contains_non_latin_script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>def contains_non_latin_script(value):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"""Accept cleaned multilingual text; return a Python bool."""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if not isinstance(value, str) or value == _LITERAL_NAN: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return False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text = unicodedata.normalize("NFC", value)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return any(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unicodedata.category(character).startswith("L")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and "LATIN" not in unicodedata.name(character, "")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    for character in text</w:t>
      </w:r>
    </w:p>
    <w:p>
      <w:pPr>
        <w:spacing w:after="0" w:line="240" w:lineRule="auto"/>
        <w:ind w:left="317" w:right="173"/>
        <w:shd w:fill="F2F2F2"/>
      </w:pPr>
      <w:r>
        <w:rPr>
          <w:rFonts w:ascii="Consolas" w:hAnsi="Consolas" w:eastAsia="Microsoft YaHei"/>
          <w:sz w:val="16"/>
        </w:rPr>
        <w:t xml:space="preserve">    )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Code stage</w:t>
            </w:r>
          </w:p>
        </w:tc>
        <w:tc>
          <w:tcPr>
            <w:tcW w:type="dxa" w:w="40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中文理解</w:t>
            </w:r>
          </w:p>
        </w:tc>
        <w:tc>
          <w:tcPr>
            <w:tcW w:type="dxa" w:w="39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English explanation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Input guard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非字符串或NaN返回False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Unsupported or sentinel input contains no usable non-Latin script</w:t>
            </w:r>
          </w:p>
        </w:tc>
      </w:tr>
      <w:tr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NFC normalisation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保证Unicode表示一致</w:t>
            </w:r>
          </w:p>
        </w:tc>
        <w:tc>
          <w:tcPr>
            <w:tcW w:type="dxa" w:w="39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Use a consistent Unicode representation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category starts with L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只检查字母，不把emoji和符号误判为脚本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Inspect letters only so emoji and symbols are not treated as a script</w:t>
            </w:r>
          </w:p>
        </w:tc>
      </w:tr>
      <w:tr>
        <w:tc>
          <w:tcPr>
            <w:tcW w:type="dxa" w:w="208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LATIN not in name</w:t>
            </w:r>
          </w:p>
        </w:tc>
        <w:tc>
          <w:tcPr>
            <w:tcW w:type="dxa" w:w="403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只要发现一个非Latin字母就返回True</w:t>
            </w:r>
          </w:p>
        </w:tc>
        <w:tc>
          <w:tcPr>
            <w:tcW w:type="dxa" w:w="396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Return True when at least one non-Latin letter is found</w:t>
            </w:r>
          </w:p>
        </w:tc>
      </w:tr>
      <w:tr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any generator</w:t>
            </w:r>
          </w:p>
        </w:tc>
        <w:tc>
          <w:tcPr>
            <w:tcW w:type="dxa" w:w="403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找到第一个满足条件的字符即可停止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Short-circuit after the first matching character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4.3 Boundary examples  边界示例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3"/>
        <w:gridCol w:w="2513"/>
        <w:gridCol w:w="2513"/>
        <w:gridCol w:w="2513"/>
      </w:tblGrid>
      <w:tr>
        <w:trPr>
          <w:tblHeader w:val="true"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9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build_latin_analysis</w:t>
            </w:r>
          </w:p>
        </w:tc>
        <w:tc>
          <w:tcPr>
            <w:tcW w:type="dxa" w:w="24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contains_non_latin_script</w:t>
            </w:r>
          </w:p>
        </w:tc>
        <w:tc>
          <w:tcPr>
            <w:tcW w:type="dxa" w:w="30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café 2024!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café 2024!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False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é is Latin script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产品 good</w:t>
            </w:r>
          </w:p>
        </w:tc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good</w:t>
            </w:r>
          </w:p>
        </w:tc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True</w:t>
            </w:r>
          </w:p>
        </w:tc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Chinese letters are removed from analysis but detected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中文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NaN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True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No Latin letter remains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😊 123</w:t>
            </w:r>
          </w:p>
        </w:tc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NaN</w:t>
            </w:r>
          </w:p>
        </w:tc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False</w:t>
            </w:r>
          </w:p>
        </w:tc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Emoji and digits are not non-Latin letters</w:t>
            </w:r>
          </w:p>
        </w:tc>
      </w:tr>
      <w:tr>
        <w:tc>
          <w:tcPr>
            <w:tcW w:type="dxa" w:w="16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NaN</w:t>
            </w:r>
          </w:p>
        </w:tc>
        <w:tc>
          <w:tcPr>
            <w:tcW w:type="dxa" w:w="29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NaN</w:t>
            </w:r>
          </w:p>
        </w:tc>
        <w:tc>
          <w:tcPr>
            <w:tcW w:type="dxa" w:w="244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False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Literal missing-string sentinel is preserved</w:t>
            </w:r>
          </w:p>
        </w:tc>
      </w:tr>
      <w:tr>
        <w:tc>
          <w:tcPr>
            <w:tcW w:type="dxa" w:w="16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7"/>
              </w:rPr>
              <w:t>None</w:t>
            </w:r>
          </w:p>
        </w:tc>
        <w:tc>
          <w:tcPr>
            <w:tcW w:type="dxa" w:w="295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NaN</w:t>
            </w:r>
          </w:p>
        </w:tc>
        <w:tc>
          <w:tcPr>
            <w:tcW w:type="dxa" w:w="244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False</w:t>
            </w:r>
          </w:p>
        </w:tc>
        <w:tc>
          <w:tcPr>
            <w:tcW w:type="dxa" w:w="302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7"/>
              </w:rPr>
              <w:t>Unsupported missing input follows the interface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4"/>
        </w:rPr>
        <w:t>5 Task 4 Validation  验证</w:t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我的范围共有20条正式验证记录，全部为PASS。每条记录包含稳定ID、检查说明、实际观测值、PASS或FAIL、evidence以及resolution or interpretation。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My scope contains 20 formal validation rows and all currently pass. Every row includes a stable ID, check description, observed result, PASS/FAIL status, evidence and a resolution or interpretation.</w:t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PASS不是硬编码结果。状态由当前数据计算产生；如果检查失败，记录应保留为FAIL并给出调查或修复方向。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PASS is not hard-coded. Status is derived from the current data; if a check fails, the row must remain visible as FAIL with an investigation or resolution path.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23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Validation ID</w:t>
            </w:r>
          </w:p>
        </w:tc>
        <w:tc>
          <w:tcPr>
            <w:tcW w:type="dxa" w:w="68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Observed check</w:t>
            </w:r>
          </w:p>
        </w:tc>
        <w:tc>
          <w:tcPr>
            <w:tcW w:type="dxa" w:w="8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VAL-PROD-SCHEMA-01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Exact Product columns and order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VAL-PROD-TYPE-01</w:t>
            </w:r>
          </w:p>
        </w:tc>
        <w:tc>
          <w:tcPr>
            <w:tcW w:type="dxa" w:w="68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Product semantic types and required missingness</w:t>
            </w:r>
          </w:p>
        </w:tc>
        <w:tc>
          <w:tcPr>
            <w:tcW w:type="dxa" w:w="8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VAL-PROD-PK-01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product_id complete and unique; 1,000 rows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VAL-PROD-RANGE-01</w:t>
            </w:r>
          </w:p>
        </w:tc>
        <w:tc>
          <w:tcPr>
            <w:tcW w:type="dxa" w:w="68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Price cost weight warranty date year and SKU invariants</w:t>
            </w:r>
          </w:p>
        </w:tc>
        <w:tc>
          <w:tcPr>
            <w:tcW w:type="dxa" w:w="8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VAL-PROD-CAT-01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Product categories supported by parsed XML values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VAL-PROD-FLOW-01</w:t>
            </w:r>
          </w:p>
        </w:tc>
        <w:tc>
          <w:tcPr>
            <w:tcW w:type="dxa" w:w="68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1,000 XML rows to 1,000 canonical keys</w:t>
            </w:r>
          </w:p>
        </w:tc>
        <w:tc>
          <w:tcPr>
            <w:tcW w:type="dxa" w:w="8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VAL-PROD-RECON-01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0 unresolved Product field conflicts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VAL-REV-SCHEMA-01</w:t>
            </w:r>
          </w:p>
        </w:tc>
        <w:tc>
          <w:tcPr>
            <w:tcW w:type="dxa" w:w="68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Exact Product Review columns and order</w:t>
            </w:r>
          </w:p>
        </w:tc>
        <w:tc>
          <w:tcPr>
            <w:tcW w:type="dxa" w:w="8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VAL-REV-TYPE-01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Review semantic types and required missingness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VAL-REV-PK-01</w:t>
            </w:r>
          </w:p>
        </w:tc>
        <w:tc>
          <w:tcPr>
            <w:tcW w:type="dxa" w:w="68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review_id complete and unique; 7,000 rows</w:t>
            </w:r>
          </w:p>
        </w:tc>
        <w:tc>
          <w:tcPr>
            <w:tcW w:type="dxa" w:w="8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VAL-REV-FK-01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Order item product and customer foreign keys resolve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VAL-REV-RANGE-01</w:t>
            </w:r>
          </w:p>
        </w:tc>
        <w:tc>
          <w:tcPr>
            <w:tcW w:type="dxa" w:w="68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Rating votes and derived counts in valid ranges</w:t>
            </w:r>
          </w:p>
        </w:tc>
        <w:tc>
          <w:tcPr>
            <w:tcW w:type="dxa" w:w="8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VAL-REV-CAT-01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Review categories and language codes supported by sources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VAL-REV-FLOW-01</w:t>
            </w:r>
          </w:p>
        </w:tc>
        <w:tc>
          <w:tcPr>
            <w:tcW w:type="dxa" w:w="68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7,892 candidates reconcile to 7,000 union keys</w:t>
            </w:r>
          </w:p>
        </w:tc>
        <w:tc>
          <w:tcPr>
            <w:tcW w:type="dxa" w:w="8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VAL-REV-RECON-01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0 unresolved Review field conflicts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VAL-TEXT-TEST-01</w:t>
            </w:r>
          </w:p>
        </w:tc>
        <w:tc>
          <w:tcPr>
            <w:tcW w:type="dxa" w:w="68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18/18 public 21/21 student and 6/6 interface tests</w:t>
            </w:r>
          </w:p>
        </w:tc>
        <w:tc>
          <w:tcPr>
            <w:tcW w:type="dxa" w:w="8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VAL-TEXT-DERIVED-01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0 length and word-count mismatches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VAL-TEXT-REF-01</w:t>
            </w:r>
          </w:p>
        </w:tc>
        <w:tc>
          <w:tcPr>
            <w:tcW w:type="dxa" w:w="68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0 invalid or inconsistent order and SKU references</w:t>
            </w:r>
          </w:p>
        </w:tc>
        <w:tc>
          <w:tcPr>
            <w:tcW w:type="dxa" w:w="8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VAL-TEXT-MULTI-01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287 reviews flagged non-Latin; 0 derivative mismatches</w:t>
            </w:r>
          </w:p>
        </w:tc>
        <w:tc>
          <w:tcPr>
            <w:tcW w:type="dxa" w:w="8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  <w:tr>
        <w:tc>
          <w:tcPr>
            <w:tcW w:type="dxa" w:w="237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VAL-TEXT-NAN-01</w:t>
            </w:r>
          </w:p>
        </w:tc>
        <w:tc>
          <w:tcPr>
            <w:tcW w:type="dxa" w:w="684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0 blank or Python-missing required strings</w:t>
            </w:r>
          </w:p>
        </w:tc>
        <w:tc>
          <w:tcPr>
            <w:tcW w:type="dxa" w:w="86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PASS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4"/>
        </w:rPr>
        <w:t>6 Task 5 Figures 7 and 8  图表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6.1 Figure 7 Review rating and text behaviour</w:t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分析问题：评论长度和helpful votes如何随评分与语言组变化？观察单位为一条canonical product review；分母为全部7,000条评论，其中英语6,311条、非英语689条。只使用product_reviews，不需要join。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Analytical question: How do review length and helpful votes vary across rating and language groups? The unit is one canonical product review. The denominator is all 7,000 reviews: 6,311 English and 689 non-English. The analysis uses product_reviews and requires no join.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070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0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结果：英语评论长度中位数从1星的974字符降至5星约904.5字符；非英语组没有单调趋势。各评分和语言组的helpful votes中位数约为42至49.5。限制：英语占多数，非英语合并了多种脚本；字符长度跨脚本不可完全比较，helpful votes还受曝光时间影响。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Result: median English review length falls from 974 characters at one star to about 904.5 at five stars, while the non-English pattern is not monotonic. Median helpful votes remain about 42–49.5. Limitation: English dominates, non-English combines several scripts, character counts are not fully comparable across scripts, and helpful votes depend on exposure time.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6.2 Figure 8 Product category and review outcomes</w:t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分析问题：不同产品类别的评分如何变化，评论量是否解释类别结果？观察单位为一条与产品类别匹配的评论。product_reviews通过product_id与products进行many-to-one连接；连接后仍为7,000行、0个孤立键、行数放大倍数1.0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Analytical question: How do review ratings differ across product categories, and does review volume explain the apparent result? The unit is one review matched to its product category. product_reviews joins products many-to-one on product_id; the validated join retains 7,000 rows, has zero orphan keys and a row-multiplication factor of 1.0.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720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2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结果：平均评分从Audio的3.291到Accessory的4.197，相差0.906星；各类别评论数为666至721，评论量与平均评分仅弱相关，r=0.156。限制：类别均值可能受到产品组合、品牌、价格、履约、评论时点和自选择影响，不能解释因果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Result: mean rating ranges from 3.291 for Audio to 4.197 for Accessory, a 0.906-star gap. Category counts range from 666 to 721 and volume is weakly correlated with mean rating, r=0.156. Limitation: product mix, brand, price, fulfilment, review timing and reviewer selection may affect category means, so the result is not causal.</w:t>
      </w: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4"/>
        </w:rPr>
        <w:t>7 Task 6 Findings 9 and 10  发现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7.1 Finding 9</w:t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在一条评论的粒度上，Figure 7包含6,311条英语评论和689条非英语评论。英语评论长度中位数从1星的974字符降至5星的904.5字符，而各评分和语言单元的helpful votes中位数保持在42至49.5。脚本差异、组大小不平衡和评论曝光可能解释该模式；在改变支持政策前，应比较token-normalised length和exposure-adjusted helpfulness。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At the one-review grain, Figure 7 covers 6,311 English and 689 non-English reviews. English median length falls from 974 characters at one star to 904.5 at five stars, while helpful-vote medians across rating/language cells stay within 42–49.5. Script differences, unequal group size and review exposure may explain the pattern; compare token-normalised length and exposure-adjusted helpfulness before changing support policy.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7.2 Finding 10</w:t>
      </w:r>
    </w:p>
    <w:p>
      <w:pPr>
        <w:spacing w:after="30" w:line="269" w:lineRule="auto"/>
      </w:pPr>
      <w:r>
        <w:rPr>
          <w:rFonts w:ascii="Aptos" w:hAnsi="Aptos" w:eastAsia="Microsoft YaHei"/>
          <w:sz w:val="21"/>
        </w:rPr>
        <w:t>Figure 8显示Audio平均评分为3.291（n=707），Accessory为4.197（n=721），差距0.906星。各类别评论数为666至721，并且与平均评分弱相关（r=0.156），因此评论量本身不能解释类别排序。评论者自选择和产品组合仍是合理替代解释；在供应商或产品组合决策前，应进行产品级、时间感知的调整比较。</w:t>
      </w:r>
    </w:p>
    <w:p>
      <w:pPr>
        <w:spacing w:after="140" w:line="259" w:lineRule="auto"/>
      </w:pPr>
      <w:r>
        <w:rPr>
          <w:rFonts w:ascii="Aptos" w:hAnsi="Aptos" w:eastAsia="Microsoft YaHei"/>
          <w:color w:val="404040"/>
          <w:sz w:val="19"/>
        </w:rPr>
        <w:t>Figure 8 shows mean rating from 3.291 for Audio (n=707) to 4.197 for Accessory (n=721), a 0.906-star gap. Category counts are balanced at 666–721 and correlate weakly with mean rating (r=0.156), so volume alone does not explain the ordering. Reviewer selection and product mix remain plausible; use product-level, time-aware adjusted comparisons before supplier or assortment decisions.</w:t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4"/>
        </w:rPr>
        <w:t>8 Task 6 Machine Learning Questions 4 and 5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8.1 MLQ 4 Low review risk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2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English response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中文理解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Evidence</w:t>
            </w:r>
          </w:p>
        </w:tc>
        <w:tc>
          <w:tcPr>
            <w:tcW w:type="dxa" w:w="52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1,166/7,000 reviews (16.7%) are 1–2 stars</w:t>
            </w:r>
          </w:p>
        </w:tc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低评分类别不平衡</w:t>
            </w:r>
          </w:p>
        </w:tc>
      </w:tr>
      <w:tr>
        <w:tc>
          <w:tcPr>
            <w:tcW w:type="dxa" w:w="15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Decision</w:t>
            </w:r>
          </w:p>
        </w:tc>
        <w:tc>
          <w:tcPr>
            <w:tcW w:type="dxa" w:w="52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Prioritise capacity-limited service recovery after delivery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交付后优先安排服务补救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Type and unit</w:t>
            </w:r>
          </w:p>
        </w:tc>
        <w:tc>
          <w:tcPr>
            <w:tcW w:type="dxa" w:w="52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Binary classification; one delivered order item</w:t>
            </w:r>
          </w:p>
        </w:tc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二元分类；一条已交付order item</w:t>
            </w:r>
          </w:p>
        </w:tc>
      </w:tr>
      <w:tr>
        <w:tc>
          <w:tcPr>
            <w:tcW w:type="dxa" w:w="15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Target</w:t>
            </w:r>
          </w:p>
        </w:tc>
        <w:tc>
          <w:tcPr>
            <w:tcW w:type="dxa" w:w="52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Whether a later canonical review has rating &lt;= 2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后续评论是否为1至2星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Predictors</w:t>
            </w:r>
          </w:p>
        </w:tc>
        <w:tc>
          <w:tcPr>
            <w:tcW w:type="dxa" w:w="52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Product item customer channel carrier service and realised delay available at delivery</w:t>
            </w:r>
          </w:p>
        </w:tc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只使用交付时已经知道的特征</w:t>
            </w:r>
          </w:p>
        </w:tc>
      </w:tr>
      <w:tr>
        <w:tc>
          <w:tcPr>
            <w:tcW w:type="dxa" w:w="15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Validation</w:t>
            </w:r>
          </w:p>
        </w:tc>
        <w:tc>
          <w:tcPr>
            <w:tcW w:type="dxa" w:w="52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Rolling-origin holdout; PR-AUC capacity-based precision/recall and calibration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按时间验证，不能只看accuracy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Risk</w:t>
            </w:r>
          </w:p>
        </w:tc>
        <w:tc>
          <w:tcPr>
            <w:tcW w:type="dxa" w:w="52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Exclude rating review text and helpful votes; reviewer selection bias</w:t>
            </w:r>
          </w:p>
        </w:tc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排除未来信息并监控选择偏差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8.2 MLQ 5 Stable review behaviour profiles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52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English response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中文理解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Evidence</w:t>
            </w:r>
          </w:p>
        </w:tc>
        <w:tc>
          <w:tcPr>
            <w:tcW w:type="dxa" w:w="52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0.906-star category gap; median 7 reviews per product, range 1–8</w:t>
            </w:r>
          </w:p>
        </w:tc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类别差异明显，但产品评论历史稀疏</w:t>
            </w:r>
          </w:p>
        </w:tc>
      </w:tr>
      <w:tr>
        <w:tc>
          <w:tcPr>
            <w:tcW w:type="dxa" w:w="15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Decision</w:t>
            </w:r>
          </w:p>
        </w:tc>
        <w:tc>
          <w:tcPr>
            <w:tcW w:type="dxa" w:w="52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Support product quality and supplier investigation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帮助质量和供应商调查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Type and unit</w:t>
            </w:r>
          </w:p>
        </w:tc>
        <w:tc>
          <w:tcPr>
            <w:tcW w:type="dxa" w:w="52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Unsupervised clustering; one product at a snapshot</w:t>
            </w:r>
          </w:p>
        </w:tc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无监督聚类；一个时间截面的产品</w:t>
            </w:r>
          </w:p>
        </w:tc>
      </w:tr>
      <w:tr>
        <w:tc>
          <w:tcPr>
            <w:tcW w:type="dxa" w:w="15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Objective</w:t>
            </w:r>
          </w:p>
        </w:tc>
        <w:tc>
          <w:tcPr>
            <w:tcW w:type="dxa" w:w="52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Stable interpretable groups; no supervised target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寻找稳定可解释群组，没有target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Predictors</w:t>
            </w:r>
          </w:p>
        </w:tc>
        <w:tc>
          <w:tcPr>
            <w:tcW w:type="dxa" w:w="52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Rating variability length helpfulness language and low-rating shares count price warranty category</w:t>
            </w:r>
          </w:p>
        </w:tc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产品属性加历史评论聚合特征</w:t>
            </w:r>
          </w:p>
        </w:tc>
      </w:tr>
      <w:tr>
        <w:tc>
          <w:tcPr>
            <w:tcW w:type="dxa" w:w="15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Validation</w:t>
            </w:r>
          </w:p>
        </w:tc>
        <w:tc>
          <w:tcPr>
            <w:tcW w:type="dxa" w:w="5256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Earlier/later windows and bootstrap stability; silhouette ARI and Jaccard</w:t>
            </w:r>
          </w:p>
        </w:tc>
        <w:tc>
          <w:tcPr>
            <w:tcW w:type="dxa" w:w="3312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同时检查分离度和时间稳定性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Aptos" w:hAnsi="Aptos" w:eastAsia="Microsoft YaHei"/>
                <w:sz w:val="16"/>
              </w:rPr>
              <w:t>Risk</w:t>
            </w:r>
          </w:p>
        </w:tc>
        <w:tc>
          <w:tcPr>
            <w:tcW w:type="dxa" w:w="525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Sparse history scaling and language proxies can dominate</w:t>
            </w:r>
          </w:p>
        </w:tc>
        <w:tc>
          <w:tcPr>
            <w:tcW w:type="dxa" w:w="331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ptos" w:hAnsi="Aptos" w:eastAsia="Microsoft YaHei"/>
                <w:sz w:val="16"/>
              </w:rPr>
              <w:t>样本稀疏、缩放和语言代理风险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4"/>
        </w:rPr>
        <w:t>9 What I Can Explain Orally  口头讲解提纲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我负责产品和产品评论域，最终输出分别为1,000行和7,000行。</w:t>
      </w:r>
      <w:r>
        <w:rPr>
          <w:rFonts w:ascii="Aptos" w:hAnsi="Aptos" w:eastAsia="Microsoft YaHei"/>
          <w:color w:val="404040"/>
          <w:sz w:val="19"/>
        </w:rPr>
        <w:t xml:space="preserve"> / I own the product and product-review domain, producing 1,000 Product rows and 7,000 canonical Review rows.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产品仅来自XML；评论来自JSON和XML，需要处理源内重复和跨源重叠。</w:t>
      </w:r>
      <w:r>
        <w:rPr>
          <w:rFonts w:ascii="Aptos" w:hAnsi="Aptos" w:eastAsia="Microsoft YaHei"/>
          <w:color w:val="404040"/>
          <w:sz w:val="19"/>
        </w:rPr>
        <w:t xml:space="preserve"> / Products are supplied in XML only; reviews occur in both JSON and XML and require within-source and cross-source reconciliation.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评论中的order reference和SKU必须先从原始文本提取，再清洗正文。</w:t>
      </w:r>
      <w:r>
        <w:rPr>
          <w:rFonts w:ascii="Aptos" w:hAnsi="Aptos" w:eastAsia="Microsoft YaHei"/>
          <w:color w:val="404040"/>
          <w:sz w:val="19"/>
        </w:rPr>
        <w:t xml:space="preserve"> / Embedded order references and SKUs must be extracted from raw text before the narrative is cleaned.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我的两个Task 3函数使用Unicode脚本信息，而不是ASCII判断。</w:t>
      </w:r>
      <w:r>
        <w:rPr>
          <w:rFonts w:ascii="Aptos" w:hAnsi="Aptos" w:eastAsia="Microsoft YaHei"/>
          <w:color w:val="404040"/>
          <w:sz w:val="19"/>
        </w:rPr>
        <w:t xml:space="preserve"> / My two Task 3 functions use Unicode script information rather than an ASCII test.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build_latin_analysis生成Latin-only分析文本；contains_non_latin_script保留一个独立布尔信号。</w:t>
      </w:r>
      <w:r>
        <w:rPr>
          <w:rFonts w:ascii="Aptos" w:hAnsi="Aptos" w:eastAsia="Microsoft YaHei"/>
          <w:color w:val="404040"/>
          <w:sz w:val="19"/>
        </w:rPr>
        <w:t xml:space="preserve"> / build_latin_analysis creates a Latin-only analytical representation, while contains_non_latin_script preserves a separate boolean signal.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我的20项验证全部PASS，但状态来自实际计算，不是硬编码。</w:t>
      </w:r>
      <w:r>
        <w:rPr>
          <w:rFonts w:ascii="Aptos" w:hAnsi="Aptos" w:eastAsia="Microsoft YaHei"/>
          <w:color w:val="404040"/>
          <w:sz w:val="19"/>
        </w:rPr>
        <w:t xml:space="preserve"> / All 20 validations in my scope pass, and the statuses are computed rather than hard-coded.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Figure 7是不需要join的多变量分组文本分析；Figure 8是经过many-to-one验证的关系分析。</w:t>
      </w:r>
      <w:r>
        <w:rPr>
          <w:rFonts w:ascii="Aptos" w:hAnsi="Aptos" w:eastAsia="Microsoft YaHei"/>
          <w:color w:val="404040"/>
          <w:sz w:val="19"/>
        </w:rPr>
        <w:t xml:space="preserve"> / Figure 7 is a segmented multivariate text analysis without a join; Figure 8 is a validated many-to-one relational analysis.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MLQ 4是二元分类；MLQ 5是无监督聚类。</w:t>
      </w:r>
      <w:r>
        <w:rPr>
          <w:rFonts w:ascii="Aptos" w:hAnsi="Aptos" w:eastAsia="Microsoft YaHei"/>
          <w:color w:val="404040"/>
          <w:sz w:val="19"/>
        </w:rPr>
        <w:t xml:space="preserve"> / MLQ 4 is binary classification and MLQ 5 is unsupervised clustering.</w:t>
      </w:r>
    </w:p>
    <w:p>
      <w:pPr>
        <w:pStyle w:val="Heading1"/>
        <w:keepNext/>
        <w:spacing w:before="200" w:after="100"/>
      </w:pPr>
      <w:r>
        <w:rPr>
          <w:rFonts w:ascii="Aptos" w:hAnsi="Aptos" w:eastAsia="Microsoft YaHei"/>
          <w:b/>
          <w:color w:val="000000"/>
          <w:sz w:val="34"/>
        </w:rPr>
        <w:t>10 Completion and Final Checks  完成情况与待核对事项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10.1 Completed  已完成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Task 2 products标准化与输出</w:t>
      </w:r>
      <w:r>
        <w:rPr>
          <w:rFonts w:ascii="Aptos" w:hAnsi="Aptos" w:eastAsia="Microsoft YaHei"/>
          <w:color w:val="404040"/>
          <w:sz w:val="19"/>
        </w:rPr>
        <w:t xml:space="preserve"> / Task 2 Product standardisation and output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Task 2 product_reviews双源标准化、去重、协调与输出</w:t>
      </w:r>
      <w:r>
        <w:rPr>
          <w:rFonts w:ascii="Aptos" w:hAnsi="Aptos" w:eastAsia="Microsoft YaHei"/>
          <w:color w:val="404040"/>
          <w:sz w:val="19"/>
        </w:rPr>
        <w:t xml:space="preserve"> / Dual-source Product Review standardisation, deduplication, reconciliation and output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Task 3.4两个多语言函数及边界逻辑</w:t>
      </w:r>
      <w:r>
        <w:rPr>
          <w:rFonts w:ascii="Aptos" w:hAnsi="Aptos" w:eastAsia="Microsoft YaHei"/>
          <w:color w:val="404040"/>
          <w:sz w:val="19"/>
        </w:rPr>
        <w:t xml:space="preserve"> / Both assigned multilingual functions and their boundary logic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Task 4产品、评论、文本和最终register范围内20项验证</w:t>
      </w:r>
      <w:r>
        <w:rPr>
          <w:rFonts w:ascii="Aptos" w:hAnsi="Aptos" w:eastAsia="Microsoft YaHei"/>
          <w:color w:val="404040"/>
          <w:sz w:val="19"/>
        </w:rPr>
        <w:t xml:space="preserve"> / Twenty Product, Review, text and final-register validations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Figures 7–8及其问题、单位、分母、join、结果与限制</w:t>
      </w:r>
      <w:r>
        <w:rPr>
          <w:rFonts w:ascii="Aptos" w:hAnsi="Aptos" w:eastAsia="Microsoft YaHei"/>
          <w:color w:val="404040"/>
          <w:sz w:val="19"/>
        </w:rPr>
        <w:t xml:space="preserve"> / Figures 7–8 with question, unit, denominator, join, result and limitation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Findings 9–10以及MLQ 4–5</w:t>
      </w:r>
      <w:r>
        <w:rPr>
          <w:rFonts w:ascii="Aptos" w:hAnsi="Aptos" w:eastAsia="Microsoft YaHei"/>
          <w:color w:val="404040"/>
          <w:sz w:val="19"/>
        </w:rPr>
        <w:t xml:space="preserve"> / Findings 9–10 and MLQ 4–5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个人代码与分析中英讲解材料</w:t>
      </w:r>
      <w:r>
        <w:rPr>
          <w:rFonts w:ascii="Aptos" w:hAnsi="Aptos" w:eastAsia="Microsoft YaHei"/>
          <w:color w:val="404040"/>
          <w:sz w:val="19"/>
        </w:rPr>
        <w:t xml:space="preserve"> / Bilingual explanation of my assigned code and analysis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10.2 Still requires group confirmation  仍需小组确认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最终提交目录必须让solution notebook在同级找到text functions、mapping和outputs。</w:t>
      </w:r>
      <w:r>
        <w:rPr>
          <w:rFonts w:ascii="Aptos" w:hAnsi="Aptos" w:eastAsia="Microsoft YaHei"/>
          <w:color w:val="404040"/>
          <w:sz w:val="19"/>
        </w:rPr>
        <w:t xml:space="preserve"> / The final package must allow the solution notebook to find the text module, mapping and outputs through the agreed relative paths.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从最终提交目录执行Restart Kernel and Run All，并确认六张CSV重新生成。</w:t>
      </w:r>
      <w:r>
        <w:rPr>
          <w:rFonts w:ascii="Aptos" w:hAnsi="Aptos" w:eastAsia="Microsoft YaHei"/>
          <w:color w:val="404040"/>
          <w:sz w:val="19"/>
        </w:rPr>
        <w:t xml:space="preserve"> / Run Restart Kernel and Run All from the final submission directory and confirm that all six CSV files regenerate.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替换EDA notebook中仍存在的assurance narrative以及limitations/conclusion占位文本。</w:t>
      </w:r>
      <w:r>
        <w:rPr>
          <w:rFonts w:ascii="Aptos" w:hAnsi="Aptos" w:eastAsia="Microsoft YaHei"/>
          <w:color w:val="404040"/>
          <w:sz w:val="19"/>
        </w:rPr>
        <w:t xml:space="preserve"> / Replace the remaining assurance-narrative and limitations/conclusion placeholders in the EDA notebook.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统一EDA notebook与report中MLQ 4–5的最终措辞。</w:t>
      </w:r>
      <w:r>
        <w:rPr>
          <w:rFonts w:ascii="Aptos" w:hAnsi="Aptos" w:eastAsia="Microsoft YaHei"/>
          <w:color w:val="404040"/>
          <w:sz w:val="19"/>
        </w:rPr>
        <w:t xml:space="preserve"> / Synchronise the final wording of MLQ 4–5 between the EDA notebook and report.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修正report中MLQ 1的Evidence重复标签，并检查MLQ 5跨页排版。</w:t>
      </w:r>
      <w:r>
        <w:rPr>
          <w:rFonts w:ascii="Aptos" w:hAnsi="Aptos" w:eastAsia="Microsoft YaHei"/>
          <w:color w:val="404040"/>
          <w:sz w:val="19"/>
        </w:rPr>
        <w:t xml:space="preserve"> / Correct the duplicated Evidence label in MLQ 1 and review the page break inside MLQ 5.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在任务划分表中补全Products/product reviews owner姓名、Task 1、Task 7和Task 8负责人。</w:t>
      </w:r>
      <w:r>
        <w:rPr>
          <w:rFonts w:ascii="Aptos" w:hAnsi="Aptos" w:eastAsia="Microsoft YaHei"/>
          <w:color w:val="404040"/>
          <w:sz w:val="19"/>
        </w:rPr>
        <w:t xml:space="preserve"> / Complete the owner names for Products/Reviews and the currently unassigned Task 1, Task 7 and Task 8 integration work.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每位成员核对AI-use declaration、最终文件名以及report中的数字与图表。</w:t>
      </w:r>
      <w:r>
        <w:rPr>
          <w:rFonts w:ascii="Aptos" w:hAnsi="Aptos" w:eastAsia="Microsoft YaHei"/>
          <w:color w:val="404040"/>
          <w:sz w:val="19"/>
        </w:rPr>
        <w:t xml:space="preserve"> / Each member must check the AI-use declaration, final filenames, and every reported number and figure.</w:t>
      </w:r>
    </w:p>
    <w:p>
      <w:pPr>
        <w:pStyle w:val="Heading2"/>
        <w:keepNext/>
        <w:spacing w:before="140" w:after="100"/>
      </w:pPr>
      <w:r>
        <w:rPr>
          <w:rFonts w:ascii="Aptos" w:hAnsi="Aptos" w:eastAsia="Microsoft YaHei"/>
          <w:b/>
          <w:color w:val="000000"/>
          <w:sz w:val="27"/>
        </w:rPr>
        <w:t>Source files reviewed  已核对文件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任务划分.docx</w:t>
      </w:r>
      <w:r>
        <w:rPr>
          <w:rFonts w:ascii="Aptos" w:hAnsi="Aptos" w:eastAsia="Microsoft YaHei"/>
          <w:color w:val="404040"/>
          <w:sz w:val="19"/>
        </w:rPr>
        <w:t xml:space="preserve"> / Team responsibility allocation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Group050_solution.ipynb</w:t>
      </w:r>
      <w:r>
        <w:rPr>
          <w:rFonts w:ascii="Aptos" w:hAnsi="Aptos" w:eastAsia="Microsoft YaHei"/>
          <w:color w:val="404040"/>
          <w:sz w:val="19"/>
        </w:rPr>
        <w:t xml:space="preserve"> / Task 2–4 implementation and validation evidence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Group050_text_functions.py</w:t>
      </w:r>
      <w:r>
        <w:rPr>
          <w:rFonts w:ascii="Aptos" w:hAnsi="Aptos" w:eastAsia="Microsoft YaHei"/>
          <w:color w:val="404040"/>
          <w:sz w:val="19"/>
        </w:rPr>
        <w:t xml:space="preserve"> / Final shared Task 3 function module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Group050_EDA.ipynb</w:t>
      </w:r>
      <w:r>
        <w:rPr>
          <w:rFonts w:ascii="Aptos" w:hAnsi="Aptos" w:eastAsia="Microsoft YaHei"/>
          <w:color w:val="404040"/>
          <w:sz w:val="19"/>
        </w:rPr>
        <w:t xml:space="preserve"> / Figures 7–8, Findings 9–10 and MLQ 4–5</w:t>
      </w:r>
    </w:p>
    <w:p>
      <w:pPr>
        <w:pStyle w:val="ListBullet"/>
        <w:spacing w:after="60" w:line="259" w:lineRule="auto"/>
      </w:pPr>
      <w:r>
        <w:rPr>
          <w:rFonts w:ascii="Aptos" w:hAnsi="Aptos" w:eastAsia="Microsoft YaHei"/>
          <w:sz w:val="20"/>
        </w:rPr>
        <w:t>Group050_EDA_revised_with_page_numbers.docx</w:t>
      </w:r>
      <w:r>
        <w:rPr>
          <w:rFonts w:ascii="Aptos" w:hAnsi="Aptos" w:eastAsia="Microsoft YaHei"/>
          <w:color w:val="404040"/>
          <w:sz w:val="19"/>
        </w:rPr>
        <w:t xml:space="preserve"> / Latest report alignment reference</w:t>
      </w:r>
    </w:p>
    <w:sectPr w:rsidR="00FC693F" w:rsidRPr="0006063C" w:rsidSect="00034616">
      <w:footerReference w:type="default" r:id="rId9"/>
      <w:pgSz w:w="12240" w:h="15840"/>
      <w:pgMar w:top="1037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40404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