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9E897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2"/>
          <w:szCs w:val="32"/>
          <w:lang w:val="en-US" w:eastAsia="zh-CN" w:bidi="ar"/>
        </w:rPr>
        <w:t>项目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32"/>
          <w:szCs w:val="32"/>
          <w:lang w:val="en-US" w:eastAsia="zh-CN" w:bidi="ar"/>
        </w:rPr>
        <w:t>人员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2"/>
          <w:szCs w:val="32"/>
          <w:lang w:val="en-US" w:eastAsia="zh-CN" w:bidi="ar"/>
        </w:rPr>
        <w:t>核心考核指标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32"/>
          <w:szCs w:val="32"/>
          <w:lang w:val="en-US" w:eastAsia="zh-CN" w:bidi="ar"/>
        </w:rPr>
        <w:t>表现</w:t>
      </w:r>
    </w:p>
    <w:p w14:paraId="305C506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人员考核核心指标评价维度与权重</w:t>
      </w:r>
    </w:p>
    <w:tbl>
      <w:tblPr>
        <w:tblStyle w:val="3"/>
        <w:tblW w:w="111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9"/>
        <w:gridCol w:w="1387"/>
        <w:gridCol w:w="5615"/>
        <w:gridCol w:w="999"/>
        <w:gridCol w:w="999"/>
      </w:tblGrid>
      <w:tr w14:paraId="1764A0FA">
        <w:trPr>
          <w:trHeight w:val="510" w:hRule="atLeast"/>
          <w:jc w:val="center"/>
        </w:trPr>
        <w:tc>
          <w:tcPr>
            <w:tcW w:w="2139" w:type="dxa"/>
            <w:vAlign w:val="center"/>
          </w:tcPr>
          <w:p w14:paraId="41384E8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1387" w:type="dxa"/>
            <w:vAlign w:val="center"/>
          </w:tcPr>
          <w:p w14:paraId="228C96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5615" w:type="dxa"/>
            <w:vAlign w:val="center"/>
          </w:tcPr>
          <w:p w14:paraId="158C7B7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核心指标及概念</w:t>
            </w:r>
          </w:p>
        </w:tc>
        <w:tc>
          <w:tcPr>
            <w:tcW w:w="999" w:type="dxa"/>
            <w:vAlign w:val="center"/>
          </w:tcPr>
          <w:p w14:paraId="3622A91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目的</w:t>
            </w:r>
          </w:p>
        </w:tc>
        <w:tc>
          <w:tcPr>
            <w:tcW w:w="999" w:type="dxa"/>
            <w:vAlign w:val="center"/>
          </w:tcPr>
          <w:p w14:paraId="376548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权重</w:t>
            </w:r>
          </w:p>
        </w:tc>
      </w:tr>
      <w:tr w14:paraId="1EB38688">
        <w:trPr>
          <w:trHeight w:val="781" w:hRule="atLeast"/>
          <w:jc w:val="center"/>
        </w:trPr>
        <w:tc>
          <w:tcPr>
            <w:tcW w:w="2139" w:type="dxa"/>
            <w:vAlign w:val="center"/>
          </w:tcPr>
          <w:p w14:paraId="6523588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目标及关键任务达成</w:t>
            </w:r>
            <w:bookmarkStart w:id="0" w:name="_GoBack"/>
            <w:bookmarkEnd w:id="0"/>
          </w:p>
        </w:tc>
        <w:tc>
          <w:tcPr>
            <w:tcW w:w="1387" w:type="dxa"/>
            <w:vAlign w:val="center"/>
          </w:tcPr>
          <w:p w14:paraId="614D8C6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结果</w:t>
            </w:r>
          </w:p>
        </w:tc>
        <w:tc>
          <w:tcPr>
            <w:tcW w:w="5615" w:type="dxa"/>
            <w:vAlign w:val="center"/>
          </w:tcPr>
          <w:p w14:paraId="7DB42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KTA =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计划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已完成关键任务权重之和/计划关键任务权重之和×100%</w:t>
            </w:r>
          </w:p>
        </w:tc>
        <w:tc>
          <w:tcPr>
            <w:tcW w:w="999" w:type="dxa"/>
            <w:vAlign w:val="center"/>
          </w:tcPr>
          <w:p w14:paraId="7960E86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完成程度</w:t>
            </w:r>
          </w:p>
        </w:tc>
        <w:tc>
          <w:tcPr>
            <w:tcW w:w="999" w:type="dxa"/>
            <w:vAlign w:val="center"/>
          </w:tcPr>
          <w:p w14:paraId="5F6CF1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50%</w:t>
            </w:r>
          </w:p>
        </w:tc>
      </w:tr>
      <w:tr w14:paraId="32C02D84">
        <w:trPr>
          <w:trHeight w:val="510" w:hRule="atLeast"/>
          <w:jc w:val="center"/>
        </w:trPr>
        <w:tc>
          <w:tcPr>
            <w:tcW w:w="2139" w:type="dxa"/>
            <w:vAlign w:val="center"/>
          </w:tcPr>
          <w:p w14:paraId="0C64F6B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交付及时性与计划管理</w:t>
            </w:r>
          </w:p>
        </w:tc>
        <w:tc>
          <w:tcPr>
            <w:tcW w:w="1387" w:type="dxa"/>
            <w:vAlign w:val="center"/>
          </w:tcPr>
          <w:p w14:paraId="0C7C7F3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过程/效率</w:t>
            </w:r>
          </w:p>
        </w:tc>
        <w:tc>
          <w:tcPr>
            <w:tcW w:w="5615" w:type="dxa"/>
            <w:vAlign w:val="center"/>
          </w:tcPr>
          <w:p w14:paraId="6B343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及时完成率=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按时完成/（按时完成+延期完成）</w:t>
            </w:r>
          </w:p>
          <w:p w14:paraId="77303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2.未完成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延期率=未完成延期/（未完成未延期+未完成延期项目）</w:t>
            </w:r>
          </w:p>
        </w:tc>
        <w:tc>
          <w:tcPr>
            <w:tcW w:w="999" w:type="dxa"/>
            <w:vAlign w:val="center"/>
          </w:tcPr>
          <w:p w14:paraId="2A0597A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预测性</w:t>
            </w:r>
          </w:p>
          <w:p w14:paraId="12A46E9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及管控</w:t>
            </w:r>
          </w:p>
        </w:tc>
        <w:tc>
          <w:tcPr>
            <w:tcW w:w="999" w:type="dxa"/>
            <w:vAlign w:val="center"/>
          </w:tcPr>
          <w:p w14:paraId="3F1EF0E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30%</w:t>
            </w:r>
          </w:p>
        </w:tc>
      </w:tr>
      <w:tr w14:paraId="76BBEB0E">
        <w:trPr>
          <w:trHeight w:val="510" w:hRule="atLeast"/>
          <w:jc w:val="center"/>
        </w:trPr>
        <w:tc>
          <w:tcPr>
            <w:tcW w:w="2139" w:type="dxa"/>
            <w:vAlign w:val="center"/>
          </w:tcPr>
          <w:p w14:paraId="0256543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有效时间投入</w:t>
            </w:r>
          </w:p>
        </w:tc>
        <w:tc>
          <w:tcPr>
            <w:tcW w:w="1387" w:type="dxa"/>
            <w:vAlign w:val="center"/>
          </w:tcPr>
          <w:p w14:paraId="78974A4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投入</w:t>
            </w:r>
          </w:p>
        </w:tc>
        <w:tc>
          <w:tcPr>
            <w:tcW w:w="5615" w:type="dxa"/>
            <w:vAlign w:val="center"/>
          </w:tcPr>
          <w:p w14:paraId="4154A9C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1.累计延期比率=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累计延期时长/（有效工作时长+累计延期时长）</w:t>
            </w:r>
          </w:p>
          <w:p w14:paraId="69D638C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有效工作时长（专注）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3.累计延期时长</w:t>
            </w:r>
          </w:p>
        </w:tc>
        <w:tc>
          <w:tcPr>
            <w:tcW w:w="999" w:type="dxa"/>
            <w:vAlign w:val="center"/>
          </w:tcPr>
          <w:p w14:paraId="3E4E744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工作饱和及产出</w:t>
            </w:r>
          </w:p>
        </w:tc>
        <w:tc>
          <w:tcPr>
            <w:tcW w:w="999" w:type="dxa"/>
            <w:vAlign w:val="center"/>
          </w:tcPr>
          <w:p w14:paraId="009B168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10%</w:t>
            </w:r>
          </w:p>
        </w:tc>
      </w:tr>
      <w:tr w14:paraId="74B3CABE">
        <w:trPr>
          <w:trHeight w:val="510" w:hRule="atLeast"/>
          <w:jc w:val="center"/>
        </w:trPr>
        <w:tc>
          <w:tcPr>
            <w:tcW w:w="2139" w:type="dxa"/>
            <w:vAlign w:val="center"/>
          </w:tcPr>
          <w:p w14:paraId="0B6DBA3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质量与返工控制</w:t>
            </w:r>
          </w:p>
        </w:tc>
        <w:tc>
          <w:tcPr>
            <w:tcW w:w="1387" w:type="dxa"/>
            <w:vAlign w:val="center"/>
          </w:tcPr>
          <w:p w14:paraId="2B577BF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返工</w:t>
            </w:r>
          </w:p>
        </w:tc>
        <w:tc>
          <w:tcPr>
            <w:tcW w:w="5615" w:type="dxa"/>
            <w:vAlign w:val="center"/>
          </w:tcPr>
          <w:p w14:paraId="2784ECF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一次通过率：一次验收通过任务数/到验收任务数</w:t>
            </w:r>
          </w:p>
          <w:p w14:paraId="6D26BC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2.返工次数</w:t>
            </w:r>
          </w:p>
        </w:tc>
        <w:tc>
          <w:tcPr>
            <w:tcW w:w="999" w:type="dxa"/>
            <w:vAlign w:val="center"/>
          </w:tcPr>
          <w:p w14:paraId="73A8ECF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减少堵塞</w:t>
            </w:r>
          </w:p>
        </w:tc>
        <w:tc>
          <w:tcPr>
            <w:tcW w:w="999" w:type="dxa"/>
            <w:vAlign w:val="center"/>
          </w:tcPr>
          <w:p w14:paraId="02EEF1C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10%</w:t>
            </w:r>
          </w:p>
        </w:tc>
      </w:tr>
    </w:tbl>
    <w:p w14:paraId="05142C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6463D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说明：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重要：一般重要：普通=4:3:2来划分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例如：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  <w:t>KTA =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  <w:t>（4+3+2）/（4+3+2）=100%</w:t>
      </w:r>
    </w:p>
    <w:p w14:paraId="4117866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项目成员评价数据报告</w:t>
      </w:r>
    </w:p>
    <w:p w14:paraId="6326B5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全部、当月、当周</w:t>
      </w:r>
    </w:p>
    <w:tbl>
      <w:tblPr>
        <w:tblW w:w="101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718"/>
        <w:gridCol w:w="683"/>
        <w:gridCol w:w="917"/>
        <w:gridCol w:w="1050"/>
        <w:gridCol w:w="1133"/>
        <w:gridCol w:w="900"/>
        <w:gridCol w:w="800"/>
        <w:gridCol w:w="917"/>
        <w:gridCol w:w="1166"/>
        <w:gridCol w:w="1268"/>
      </w:tblGrid>
      <w:tr w14:paraId="1B22562C">
        <w:trPr>
          <w:trHeight w:val="336" w:hRule="atLeast"/>
          <w:jc w:val="center"/>
        </w:trPr>
        <w:tc>
          <w:tcPr>
            <w:tcW w:w="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1DB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7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F91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683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30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部门</w:t>
            </w:r>
          </w:p>
        </w:tc>
        <w:tc>
          <w:tcPr>
            <w:tcW w:w="9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8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关键任务达成率</w:t>
            </w:r>
          </w:p>
        </w:tc>
        <w:tc>
          <w:tcPr>
            <w:tcW w:w="21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55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交付及时性与计划管理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33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工作负荷与投入有效性</w:t>
            </w:r>
          </w:p>
        </w:tc>
        <w:tc>
          <w:tcPr>
            <w:tcW w:w="24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3E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质量与返工控制</w:t>
            </w:r>
          </w:p>
        </w:tc>
      </w:tr>
      <w:tr w14:paraId="03D8446A">
        <w:trPr>
          <w:trHeight w:val="336" w:hRule="atLeast"/>
          <w:jc w:val="center"/>
        </w:trPr>
        <w:tc>
          <w:tcPr>
            <w:tcW w:w="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6AE3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7FC8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3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D15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461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D4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kern w:val="0"/>
                <w:sz w:val="24"/>
                <w:szCs w:val="24"/>
                <w:vertAlign w:val="baseline"/>
                <w:lang w:val="en-US" w:eastAsia="zh-CN" w:bidi="ar"/>
              </w:rPr>
              <w:t>及时完成率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B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24"/>
                <w:szCs w:val="24"/>
                <w:lang w:val="en-US" w:eastAsia="zh-CN" w:bidi="ar"/>
              </w:rPr>
              <w:t>未完成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kern w:val="0"/>
                <w:sz w:val="24"/>
                <w:szCs w:val="24"/>
                <w:lang w:val="en-US" w:eastAsia="zh-CN" w:bidi="ar"/>
              </w:rPr>
              <w:t>延期率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D0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kern w:val="0"/>
                <w:sz w:val="24"/>
                <w:szCs w:val="24"/>
                <w:vertAlign w:val="baseline"/>
                <w:lang w:val="en-US" w:eastAsia="zh-CN" w:bidi="ar"/>
              </w:rPr>
              <w:t>累计延期比率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7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有效工作时长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2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累计延期时长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28F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kern w:val="0"/>
                <w:sz w:val="24"/>
                <w:szCs w:val="24"/>
                <w:vertAlign w:val="baseline"/>
                <w:lang w:val="en-US" w:eastAsia="zh-CN" w:bidi="ar"/>
              </w:rPr>
              <w:t>一次通过率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1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返工次数计算</w:t>
            </w:r>
          </w:p>
        </w:tc>
      </w:tr>
      <w:tr w14:paraId="181E33AE">
        <w:trPr>
          <w:trHeight w:val="340" w:hRule="atLeast"/>
          <w:jc w:val="center"/>
        </w:trPr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5FA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9677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34F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5E5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21D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582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DDA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094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27A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8C0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AED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2BB1EC">
        <w:trPr>
          <w:trHeight w:val="336" w:hRule="atLeast"/>
          <w:jc w:val="center"/>
        </w:trPr>
        <w:tc>
          <w:tcPr>
            <w:tcW w:w="58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7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322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7F7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7BF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175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676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894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517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6A4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A25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17F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C2D723">
        <w:trPr>
          <w:trHeight w:val="336" w:hRule="atLeast"/>
          <w:jc w:val="center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B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926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0FD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EEF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9C6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618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20B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BF6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78F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EB1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A15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C15737">
        <w:trPr>
          <w:trHeight w:val="336" w:hRule="atLeast"/>
          <w:jc w:val="center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E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BB0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EE5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605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462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230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4D5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76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B12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A09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4B5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9113E5">
        <w:trPr>
          <w:trHeight w:val="336" w:hRule="atLeast"/>
          <w:jc w:val="center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0C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A7B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8FC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DA0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E5A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26A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28B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F8C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B18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0E6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E79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5824BA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C1689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8F0EF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19E274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8626B5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1B0FE2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项目成员得分总结（项目完工）</w:t>
      </w:r>
    </w:p>
    <w:p w14:paraId="24C51F2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评分情况获得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8"/>
        <w:gridCol w:w="2284"/>
        <w:gridCol w:w="2267"/>
        <w:gridCol w:w="2549"/>
      </w:tblGrid>
      <w:tr w14:paraId="0DBFC0B5">
        <w:trPr>
          <w:trHeight w:val="519" w:hRule="atLeast"/>
        </w:trPr>
        <w:tc>
          <w:tcPr>
            <w:tcW w:w="978" w:type="dxa"/>
            <w:shd w:val="clear" w:color="auto" w:fill="auto"/>
            <w:vAlign w:val="center"/>
          </w:tcPr>
          <w:p w14:paraId="5EB86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7CD9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11DFB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部门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2DC4C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得分</w:t>
            </w:r>
          </w:p>
        </w:tc>
      </w:tr>
      <w:tr w14:paraId="4CFB32BE">
        <w:tc>
          <w:tcPr>
            <w:tcW w:w="978" w:type="dxa"/>
            <w:vAlign w:val="center"/>
          </w:tcPr>
          <w:p w14:paraId="71298B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284" w:type="dxa"/>
            <w:vAlign w:val="center"/>
          </w:tcPr>
          <w:p w14:paraId="06BBD87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267" w:type="dxa"/>
            <w:vAlign w:val="center"/>
          </w:tcPr>
          <w:p w14:paraId="15E445C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549" w:type="dxa"/>
            <w:vAlign w:val="center"/>
          </w:tcPr>
          <w:p w14:paraId="6C716E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1CCFE407">
        <w:tc>
          <w:tcPr>
            <w:tcW w:w="978" w:type="dxa"/>
            <w:vAlign w:val="center"/>
          </w:tcPr>
          <w:p w14:paraId="73261C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284" w:type="dxa"/>
            <w:vAlign w:val="center"/>
          </w:tcPr>
          <w:p w14:paraId="103CE45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267" w:type="dxa"/>
            <w:vAlign w:val="center"/>
          </w:tcPr>
          <w:p w14:paraId="3D66E5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549" w:type="dxa"/>
            <w:vAlign w:val="center"/>
          </w:tcPr>
          <w:p w14:paraId="4BF85F9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790F023A">
        <w:tc>
          <w:tcPr>
            <w:tcW w:w="978" w:type="dxa"/>
            <w:vAlign w:val="center"/>
          </w:tcPr>
          <w:p w14:paraId="518297D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284" w:type="dxa"/>
            <w:vAlign w:val="center"/>
          </w:tcPr>
          <w:p w14:paraId="47DE98B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267" w:type="dxa"/>
            <w:vAlign w:val="center"/>
          </w:tcPr>
          <w:p w14:paraId="2869910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549" w:type="dxa"/>
            <w:vAlign w:val="center"/>
          </w:tcPr>
          <w:p w14:paraId="2353838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4331FDA4">
        <w:tc>
          <w:tcPr>
            <w:tcW w:w="978" w:type="dxa"/>
            <w:vAlign w:val="center"/>
          </w:tcPr>
          <w:p w14:paraId="3518D3B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284" w:type="dxa"/>
            <w:vAlign w:val="center"/>
          </w:tcPr>
          <w:p w14:paraId="46B3E55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267" w:type="dxa"/>
            <w:vAlign w:val="center"/>
          </w:tcPr>
          <w:p w14:paraId="068A654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2549" w:type="dxa"/>
            <w:vAlign w:val="center"/>
          </w:tcPr>
          <w:p w14:paraId="2E851C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</w:tbl>
    <w:p w14:paraId="1568DDC1">
      <w:pPr>
        <w:keepNext w:val="0"/>
        <w:keepLines w:val="0"/>
        <w:widowControl/>
        <w:suppressLineNumbers w:val="0"/>
        <w:jc w:val="left"/>
        <w:rPr>
          <w:rFonts w:ascii="HYZhongDengXianKW" w:hAnsi="HYZhongDengXianKW" w:eastAsia="HYZhongDengXianKW" w:cs="HYZhongDengXianKW"/>
          <w:color w:val="000000"/>
          <w:kern w:val="0"/>
          <w:sz w:val="22"/>
          <w:szCs w:val="22"/>
          <w:lang w:val="en-US" w:eastAsia="zh-CN" w:bidi="ar"/>
        </w:rPr>
      </w:pPr>
    </w:p>
    <w:p w14:paraId="3041CEF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2"/>
          <w:szCs w:val="22"/>
          <w:lang w:val="en-US" w:eastAsia="zh-CN" w:bidi="ar"/>
        </w:rPr>
        <w:t>总分计算：</w:t>
      </w:r>
    </w:p>
    <w:p w14:paraId="6BA0B064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FF0000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例如：= 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维度1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(分)*0.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 + 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维度2及时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(分)*0.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15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 + 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维度2延期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(分)*0.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15+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维度3（分）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 xml:space="preserve">*0.15+ 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维度4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(分)*</w:t>
      </w:r>
      <w:r>
        <w:rPr>
          <w:rFonts w:hint="eastAsia" w:asciiTheme="minorEastAsia" w:hAnsiTheme="minorEastAsia" w:cstheme="minorEastAsia"/>
          <w:b/>
          <w:bCs/>
          <w:color w:val="FF0000"/>
          <w:kern w:val="0"/>
          <w:sz w:val="22"/>
          <w:szCs w:val="22"/>
          <w:lang w:val="en-US" w:eastAsia="zh-CN" w:bidi="ar"/>
        </w:rPr>
        <w:t>0.1</w:t>
      </w:r>
    </w:p>
    <w:p w14:paraId="732381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评分规则：</w:t>
      </w:r>
    </w:p>
    <w:p w14:paraId="19FD2F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 分制评分规则（每个维度可量化打分） </w:t>
      </w:r>
    </w:p>
    <w:p w14:paraId="1CE128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每个维度按关键指标映射到 1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5 分，再按权重加权汇总。 </w:t>
      </w:r>
    </w:p>
    <w:p w14:paraId="2BCD0F8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535620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维度 1：目标与关键任务达成（</w:t>
      </w:r>
      <w:r>
        <w:rPr>
          <w:rFonts w:hint="eastAsia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 xml:space="preserve">0%） </w:t>
      </w:r>
    </w:p>
    <w:p w14:paraId="26A71E6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5 分：KTA ≥ 95% </w:t>
      </w:r>
    </w:p>
    <w:p w14:paraId="4CDABF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4 分：90%–94% </w:t>
      </w:r>
    </w:p>
    <w:p w14:paraId="0D0C2F6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 分：80%–89% </w:t>
      </w:r>
    </w:p>
    <w:p w14:paraId="54C556B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 分：60%–79% </w:t>
      </w:r>
    </w:p>
    <w:p w14:paraId="37942E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 分：&lt; 60%</w:t>
      </w:r>
    </w:p>
    <w:p w14:paraId="462A0D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9DC81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维度 2：交付及时性与计划管理（</w:t>
      </w:r>
      <w:r>
        <w:rPr>
          <w:rFonts w:hint="eastAsia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30</w:t>
      </w: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 xml:space="preserve">%） </w:t>
      </w:r>
    </w:p>
    <w:p w14:paraId="046990E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及时完成率（15%）</w:t>
      </w:r>
    </w:p>
    <w:p w14:paraId="5D407B5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5分：及时完成率</w:t>
      </w: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≥ 95%</w:t>
      </w:r>
    </w:p>
    <w:p w14:paraId="497121E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4 分：90%–94% </w:t>
      </w:r>
    </w:p>
    <w:p w14:paraId="064840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 分：80%–89% </w:t>
      </w:r>
    </w:p>
    <w:p w14:paraId="2D7326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 分：60%–79% </w:t>
      </w:r>
    </w:p>
    <w:p w14:paraId="7435C6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 分：&lt; 60%</w:t>
      </w:r>
    </w:p>
    <w:p w14:paraId="3FF784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未完成延期率（15%）</w:t>
      </w:r>
    </w:p>
    <w:p w14:paraId="606DAFA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 分：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未完成延期率</w:t>
      </w: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≤ 5% </w:t>
      </w:r>
    </w:p>
    <w:p w14:paraId="53082DC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4 分：&gt;5%–10% </w:t>
      </w:r>
    </w:p>
    <w:p w14:paraId="458F4C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 分：&gt;10%–20% </w:t>
      </w:r>
    </w:p>
    <w:p w14:paraId="1B9D161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 分：&gt;20%–35% </w:t>
      </w:r>
    </w:p>
    <w:p w14:paraId="53C627E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 分：&gt;35%</w:t>
      </w:r>
    </w:p>
    <w:p w14:paraId="11ABD85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9A27BD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 xml:space="preserve">维度 </w:t>
      </w:r>
      <w:r>
        <w:rPr>
          <w:rFonts w:hint="eastAsia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有效时间投入（10%）</w:t>
      </w:r>
    </w:p>
    <w:p w14:paraId="0009776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  <w:t>累计延期比率</w:t>
      </w:r>
    </w:p>
    <w:p w14:paraId="3A864B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 分：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  <w:t>累计延期比率</w:t>
      </w: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≤ 5% </w:t>
      </w:r>
    </w:p>
    <w:p w14:paraId="0494D87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4 分：&gt;5%–10% </w:t>
      </w:r>
    </w:p>
    <w:p w14:paraId="406184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 分：&gt;10%–20% </w:t>
      </w:r>
    </w:p>
    <w:p w14:paraId="723F8A7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 分：&gt;20%–35% </w:t>
      </w:r>
    </w:p>
    <w:p w14:paraId="07F0152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 分：&gt;35%</w:t>
      </w:r>
    </w:p>
    <w:p w14:paraId="7BEE54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3B33B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 xml:space="preserve">维度 </w:t>
      </w:r>
      <w:r>
        <w:rPr>
          <w:rFonts w:hint="eastAsia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cstheme="minorEastAsia"/>
          <w:b w:val="0"/>
          <w:bCs w:val="0"/>
          <w:color w:val="FF0000"/>
          <w:kern w:val="0"/>
          <w:sz w:val="24"/>
          <w:szCs w:val="24"/>
          <w:vertAlign w:val="baseline"/>
          <w:lang w:val="en-US" w:eastAsia="zh-CN" w:bidi="ar"/>
        </w:rPr>
        <w:t>质量与返工控制（10%）</w:t>
      </w:r>
    </w:p>
    <w:p w14:paraId="526982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vertAlign w:val="baseline"/>
          <w:lang w:val="en-US" w:eastAsia="zh-CN" w:bidi="ar"/>
        </w:rPr>
        <w:t>一次性通过率</w:t>
      </w:r>
    </w:p>
    <w:p w14:paraId="227B62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5分：一次性通过率</w:t>
      </w: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≥ 95%</w:t>
      </w:r>
    </w:p>
    <w:p w14:paraId="71C1E3C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4 分：90%–94% </w:t>
      </w:r>
    </w:p>
    <w:p w14:paraId="5E2EBB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 分：80%–89% </w:t>
      </w:r>
    </w:p>
    <w:p w14:paraId="0ABDA0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 分：60%–79% </w:t>
      </w:r>
    </w:p>
    <w:p w14:paraId="4925CD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 分：&lt; 60%</w:t>
      </w:r>
    </w:p>
    <w:p w14:paraId="0E0A531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EA6AE1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8D5384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5FCB1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4E788CD">
      <w:pPr>
        <w:keepNext w:val="0"/>
        <w:keepLines w:val="0"/>
        <w:widowControl/>
        <w:suppressLineNumbers w:val="0"/>
        <w:jc w:val="left"/>
        <w:rPr>
          <w:rFonts w:ascii="HYZhongDengXianKW" w:hAnsi="HYZhongDengXianKW" w:eastAsia="HYZhongDengXianKW" w:cs="HYZhongDengXianKW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67D5E1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YZhongDengXian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77BB6A"/>
    <w:multiLevelType w:val="singleLevel"/>
    <w:tmpl w:val="7F77BB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7DC58"/>
    <w:rsid w:val="6FB44353"/>
    <w:rsid w:val="786444F2"/>
    <w:rsid w:val="7BF8D3C1"/>
    <w:rsid w:val="7DFD47A7"/>
    <w:rsid w:val="7EF7DC58"/>
    <w:rsid w:val="B8671BC3"/>
    <w:rsid w:val="BFE6F4F7"/>
    <w:rsid w:val="BFF95615"/>
    <w:rsid w:val="D7DFD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1350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2026-01-13T14:15:00Z</dcterms:created>
  <dc:creator>幽草</dc:creator>
  <cp:lastModifiedBy>幽草</cp:lastModifiedBy>
  <dcterms:modified xsi:type="dcterms:W3CDTF">2026-01-15T18:14:37Z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D7B7E9063EF7328D7C41676977B323FA_43</vt:lpwstr>
  </property>
</Properties>
</file>