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黑体" w:hAnsi="黑体" w:eastAsia="黑体"/>
          <w:b/>
          <w:sz w:val="36"/>
        </w:rPr>
        <w:t>制度变迁视角下区域共同富裕的实现路径与效应评估</w:t>
      </w:r>
    </w:p>
    <w:p>
      <w:pPr>
        <w:spacing w:after="240"/>
        <w:jc w:val="center"/>
      </w:pPr>
      <w:r>
        <w:rPr>
          <w:rFonts w:ascii="黑体" w:hAnsi="黑体" w:eastAsia="黑体"/>
          <w:sz w:val="28"/>
        </w:rPr>
        <w:t>——基于浙江共同富裕示范区建设的合成控制研究</w:t>
      </w:r>
    </w:p>
    <w:p>
      <w:pPr>
        <w:ind w:firstLine="420"/>
      </w:pPr>
      <w:r>
        <w:rPr>
          <w:rFonts w:ascii="宋体" w:hAnsi="宋体" w:eastAsia="宋体"/>
          <w:b/>
        </w:rPr>
        <w:t>作者简介</w:t>
      </w:r>
      <w:r>
        <w:rPr>
          <w:rFonts w:ascii="宋体" w:hAnsi="宋体" w:eastAsia="宋体"/>
        </w:rPr>
        <w:t>：[作者姓名]（19XX—），[性别]，[籍贯]人，[单位全称][职称/学位]，研究方向为[研究方向]。</w:t>
      </w:r>
    </w:p>
    <w:p>
      <w:pPr>
        <w:ind w:firstLine="420"/>
      </w:pPr>
      <w:r>
        <w:rPr>
          <w:rFonts w:ascii="宋体" w:hAnsi="宋体" w:eastAsia="宋体"/>
          <w:b/>
        </w:rPr>
        <w:t>基金项目</w:t>
      </w:r>
      <w:r>
        <w:rPr>
          <w:rFonts w:ascii="宋体" w:hAnsi="宋体" w:eastAsia="宋体"/>
        </w:rPr>
        <w:t>：[基金名称]（项目编号：XXXXXXXX）</w:t>
      </w:r>
    </w:p>
    <w:p>
      <w:pPr>
        <w:ind w:firstLine="0"/>
      </w:pPr>
      <w:r>
        <w:rPr>
          <w:rFonts w:ascii="宋体" w:hAnsi="宋体" w:eastAsia="宋体"/>
          <w:b/>
        </w:rPr>
        <w:t>摘 要</w:t>
      </w:r>
      <w:r>
        <w:rPr>
          <w:rFonts w:ascii="宋体" w:hAnsi="宋体" w:eastAsia="宋体"/>
        </w:rPr>
        <w:t>：如何在经济增长中实现分配公平，是发展经济学的核心命题，也是中国式现代化面临的重大挑战。本文将共同富裕置于制度变迁的理论视野中加以审视，以2021年浙江共同富裕示范区建设这一准自然实验为研究对象，运用合成控制法构建反事实分析框架，系统评估制度创新对城乡收入差距的因果效应。研究发现：示范区建设使浙江省城乡收入比平均下降0.125，相对降幅达5.73%，且这一效应呈现出随时间递增的累积特征；制度创新通过重塑城乡要素流动格局、优化收入分配结构、推进公共服务均等化三重路径，打破了城乡二元结构的制度锁定，驱动城乡收入趋同。本文揭示了制度变量在"增长—分配"关系中的调节作用，为超越库兹涅茨曲线的路径依赖提供了中国经验。</w:t>
      </w:r>
    </w:p>
    <w:p>
      <w:pPr>
        <w:ind w:firstLine="0"/>
      </w:pPr>
      <w:r>
        <w:rPr>
          <w:rFonts w:ascii="宋体" w:hAnsi="宋体" w:eastAsia="宋体"/>
          <w:b/>
        </w:rPr>
        <w:t>关键词</w:t>
      </w:r>
      <w:r>
        <w:rPr>
          <w:rFonts w:ascii="宋体" w:hAnsi="宋体" w:eastAsia="宋体"/>
        </w:rPr>
        <w:t>：共同富裕；制度变迁；城乡收入差距；合成控制法；浙江示范区</w:t>
      </w:r>
    </w:p>
    <w:p>
      <w:pPr>
        <w:ind w:firstLine="0"/>
      </w:pPr>
      <w:r>
        <w:rPr>
          <w:rFonts w:ascii="宋体" w:hAnsi="宋体" w:eastAsia="宋体"/>
          <w:b/>
        </w:rPr>
        <w:t>中图分类号</w:t>
      </w:r>
      <w:r>
        <w:rPr>
          <w:rFonts w:ascii="宋体" w:hAnsi="宋体" w:eastAsia="宋体"/>
        </w:rPr>
        <w:t xml:space="preserve">：F124.7；F061.4　　</w:t>
      </w:r>
      <w:r>
        <w:rPr>
          <w:rFonts w:ascii="宋体" w:hAnsi="宋体" w:eastAsia="宋体"/>
          <w:b/>
        </w:rPr>
        <w:t>文献标识码</w:t>
      </w:r>
      <w:r>
        <w:rPr>
          <w:rFonts w:ascii="宋体" w:hAnsi="宋体" w:eastAsia="宋体"/>
        </w:rPr>
        <w:t>：A</w:t>
      </w:r>
    </w:p>
    <w:p>
      <w:pPr>
        <w:ind w:firstLine="420"/>
      </w:pPr>
      <w:r>
        <w:rPr>
          <w:rFonts w:ascii="宋体" w:hAnsi="宋体" w:eastAsia="宋体"/>
          <w:b/>
        </w:rPr>
        <w:t>The Path and Effect of Regional Common Prosperity from the Perspective of Institutional Change: A Synthetic Control Study Based on Zhejiang Common Prosperity Demonstration Zone</w:t>
      </w:r>
    </w:p>
    <w:p>
      <w:pPr>
        <w:ind w:firstLine="0"/>
      </w:pPr>
      <w:r>
        <w:rPr>
          <w:rFonts w:ascii="宋体" w:hAnsi="宋体" w:eastAsia="宋体"/>
          <w:b/>
        </w:rPr>
        <w:t>Abstract</w:t>
      </w:r>
      <w:r>
        <w:rPr>
          <w:rFonts w:ascii="宋体" w:hAnsi="宋体" w:eastAsia="宋体"/>
        </w:rPr>
        <w:t>: This paper examines common prosperity from the perspective of institutional change, taking the construction of Zhejiang Common Prosperity Demonstration Zone in 2021 as a quasi-natural experiment, and using the synthetic control method to evaluate the causal effects of institutional innovation on the urban-rural income gap. The findings show that the demonstration zone construction has reduced Zhejiang's urban-rural income ratio by an average of 0.125 (5.73%), with a cumulative effect increasing over time. Institutional innovation breaks the institutional lock-in of the urban-rural dual structure through three paths: reshaping factor mobility, optimizing income distribution, and promoting equalization of public services.</w:t>
      </w:r>
    </w:p>
    <w:p>
      <w:pPr>
        <w:ind w:firstLine="0"/>
      </w:pPr>
      <w:r>
        <w:rPr>
          <w:rFonts w:ascii="宋体" w:hAnsi="宋体" w:eastAsia="宋体"/>
          <w:b/>
        </w:rPr>
        <w:t>Keywords</w:t>
      </w:r>
      <w:r>
        <w:rPr>
          <w:rFonts w:ascii="宋体" w:hAnsi="宋体" w:eastAsia="宋体"/>
        </w:rPr>
        <w:t>: Common Prosperity; Institutional Change; Urban-Rural Income Gap; Synthetic Control Method; Zhejiang</w:t>
      </w:r>
    </w:p>
    <w:p>
      <w:pPr>
        <w:spacing w:before="240" w:after="120"/>
      </w:pPr>
      <w:r>
        <w:rPr>
          <w:rFonts w:ascii="黑体" w:hAnsi="黑体" w:eastAsia="黑体"/>
          <w:b/>
          <w:sz w:val="24"/>
        </w:rPr>
        <w:t>一、引言</w:t>
      </w:r>
    </w:p>
    <w:p>
      <w:pPr>
        <w:ind w:firstLine="420"/>
      </w:pPr>
      <w:r>
        <w:rPr>
          <w:rFonts w:ascii="宋体" w:hAnsi="宋体" w:eastAsia="宋体"/>
          <w:sz w:val="21"/>
        </w:rPr>
        <w:t>经济增长与收入分配的关系，是贯穿发展经济学百年历程的核心命题。自库兹涅茨提出著名的"倒U型曲线"假说以来①，学界围绕"增长是否必然伴随不平等"展开了持久讨论。然而，库兹涅茨曲线在实证检验中遭遇了越来越多的挑战。皮凯蒂的研究表明，资本收益率长期高于经济增长率是不平等的结构性根源②。东亚新兴经济体的发展经验表明，通过适当的制度安排，完全可以在快速增长中实现相对公平的分配③。</w:t>
      </w:r>
    </w:p>
    <w:p>
      <w:pPr>
        <w:ind w:firstLine="420"/>
      </w:pPr>
      <w:r>
        <w:rPr>
          <w:rFonts w:ascii="宋体" w:hAnsi="宋体" w:eastAsia="宋体"/>
          <w:sz w:val="21"/>
        </w:rPr>
        <w:t>中国的发展实践为这一问题提供了独特的研究场域。改革开放四十余年来，城乡居民收入比从1985年的1.86倍攀升至2009年的3.33倍，此后虽有所回落，但2024年仍维持在2.34倍。城乡收入差距的形成与固化，本质上是城乡二元结构的制度锁定效应。诺斯的制度变迁理论指出，制度一旦形成便具有路径依赖特征④。中国的户籍制度、土地制度和公共服务供给制度，共同构筑了城乡要素流动的制度壁垒⑤。</w:t>
      </w:r>
    </w:p>
    <w:p>
      <w:pPr>
        <w:ind w:firstLine="420"/>
      </w:pPr>
      <w:r>
        <w:rPr>
          <w:rFonts w:ascii="宋体" w:hAnsi="宋体" w:eastAsia="宋体"/>
          <w:sz w:val="21"/>
        </w:rPr>
        <w:t>2021年6月，中共中央、国务院批复浙江建设共同富裕示范区，成为观察制度创新与共同富裕关系的重要"自然实验"。本文采用合成控制法⑥⑦，试图回答：浙江示范区建设是否显著缩小了城乡收入差距？作用机制是什么？政策效应如何随时间演变？</w:t>
      </w:r>
    </w:p>
    <w:p>
      <w:pPr>
        <w:spacing w:before="240" w:after="120"/>
      </w:pPr>
      <w:r>
        <w:rPr>
          <w:rFonts w:ascii="黑体" w:hAnsi="黑体" w:eastAsia="黑体"/>
          <w:b/>
          <w:sz w:val="24"/>
        </w:rPr>
        <w:t>二、理论框架与研究假说</w:t>
      </w:r>
    </w:p>
    <w:p>
      <w:pPr>
        <w:spacing w:before="120"/>
      </w:pPr>
      <w:r>
        <w:rPr>
          <w:rFonts w:ascii="楷体" w:hAnsi="楷体" w:eastAsia="楷体"/>
          <w:b/>
          <w:sz w:val="22"/>
        </w:rPr>
        <w:t>（一）城乡二元结构的制度根源</w:t>
      </w:r>
    </w:p>
    <w:p>
      <w:pPr>
        <w:ind w:firstLine="420"/>
      </w:pPr>
      <w:r>
        <w:rPr>
          <w:rFonts w:ascii="宋体" w:hAnsi="宋体" w:eastAsia="宋体"/>
          <w:sz w:val="21"/>
        </w:rPr>
        <w:t>刘易斯的二元经济理论提供了经典的分析框架⑧。然而，中国的经验与刘易斯模型存在明显偏离。蔡昉指出，中国的"刘易斯转折点"之所以姗姗来迟，根本原因在于制度障碍阻断了劳动力的自由流动⑨。户籍制度造成了"半城镇化"现象；土地产权的不完整性制约了农民的财产性收入增长⑩；公共服务的不均等是对农村居民发展能力的系统性剥夺⑪。</w:t>
      </w:r>
    </w:p>
    <w:p>
      <w:pPr>
        <w:spacing w:before="120"/>
      </w:pPr>
      <w:r>
        <w:rPr>
          <w:rFonts w:ascii="楷体" w:hAnsi="楷体" w:eastAsia="楷体"/>
          <w:b/>
          <w:sz w:val="22"/>
        </w:rPr>
        <w:t>（二）制度创新的作用机制</w:t>
      </w:r>
    </w:p>
    <w:p>
      <w:pPr>
        <w:ind w:firstLine="420"/>
      </w:pPr>
      <w:r>
        <w:rPr>
          <w:rFonts w:ascii="宋体" w:hAnsi="宋体" w:eastAsia="宋体"/>
          <w:sz w:val="21"/>
        </w:rPr>
        <w:t>浙江共同富裕示范区建设通过三条相互交织的路径作用于城乡收入差距：</w:t>
      </w:r>
      <w:r>
        <w:rPr>
          <w:rFonts w:ascii="宋体" w:hAnsi="宋体" w:eastAsia="宋体"/>
          <w:b/>
          <w:sz w:val="21"/>
        </w:rPr>
        <w:t>要素流动路径</w:t>
      </w:r>
      <w:r>
        <w:rPr>
          <w:rFonts w:ascii="宋体" w:hAnsi="宋体" w:eastAsia="宋体"/>
          <w:sz w:val="21"/>
        </w:rPr>
        <w:t>（深化户籍和土地制度改革）、</w:t>
      </w:r>
      <w:r>
        <w:rPr>
          <w:rFonts w:ascii="宋体" w:hAnsi="宋体" w:eastAsia="宋体"/>
          <w:b/>
          <w:sz w:val="21"/>
        </w:rPr>
        <w:t>收入分配路径</w:t>
      </w:r>
      <w:r>
        <w:rPr>
          <w:rFonts w:ascii="宋体" w:hAnsi="宋体" w:eastAsia="宋体"/>
          <w:sz w:val="21"/>
        </w:rPr>
        <w:t>（构建三次分配协调体系）、</w:t>
      </w:r>
      <w:r>
        <w:rPr>
          <w:rFonts w:ascii="宋体" w:hAnsi="宋体" w:eastAsia="宋体"/>
          <w:b/>
          <w:sz w:val="21"/>
        </w:rPr>
        <w:t>能力发展路径</w:t>
      </w:r>
      <w:r>
        <w:rPr>
          <w:rFonts w:ascii="宋体" w:hAnsi="宋体" w:eastAsia="宋体"/>
          <w:sz w:val="21"/>
        </w:rPr>
        <w:t>（推进公共服务均等化）。</w:t>
      </w:r>
    </w:p>
    <w:p>
      <w:pPr>
        <w:spacing w:before="120"/>
      </w:pPr>
      <w:r>
        <w:rPr>
          <w:rFonts w:ascii="楷体" w:hAnsi="楷体" w:eastAsia="楷体"/>
          <w:b/>
          <w:sz w:val="22"/>
        </w:rPr>
        <w:t>（三）研究假说</w:t>
      </w:r>
    </w:p>
    <w:p>
      <w:pPr>
        <w:ind w:firstLine="420"/>
      </w:pPr>
      <w:r>
        <w:rPr>
          <w:rFonts w:ascii="宋体" w:hAnsi="宋体" w:eastAsia="宋体"/>
          <w:b/>
        </w:rPr>
        <w:t>假说一</w:t>
      </w:r>
      <w:r>
        <w:rPr>
          <w:rFonts w:ascii="宋体" w:hAnsi="宋体" w:eastAsia="宋体"/>
        </w:rPr>
        <w:t>：浙江共同富裕示范区建设显著缩小了城乡收入差距。</w:t>
      </w:r>
    </w:p>
    <w:p>
      <w:pPr>
        <w:ind w:firstLine="420"/>
      </w:pPr>
      <w:r>
        <w:rPr>
          <w:rFonts w:ascii="宋体" w:hAnsi="宋体" w:eastAsia="宋体"/>
          <w:b/>
        </w:rPr>
        <w:t>假说二</w:t>
      </w:r>
      <w:r>
        <w:rPr>
          <w:rFonts w:ascii="宋体" w:hAnsi="宋体" w:eastAsia="宋体"/>
        </w:rPr>
        <w:t>：制度变迁的效应具有累积性特征，政策效应随时间推移逐步增强。</w:t>
      </w:r>
    </w:p>
    <w:p>
      <w:pPr>
        <w:spacing w:before="240" w:after="120"/>
      </w:pPr>
      <w:r>
        <w:rPr>
          <w:rFonts w:ascii="黑体" w:hAnsi="黑体" w:eastAsia="黑体"/>
          <w:b/>
          <w:sz w:val="24"/>
        </w:rPr>
        <w:t>三、研究设计</w:t>
      </w:r>
    </w:p>
    <w:p>
      <w:pPr>
        <w:ind w:firstLine="420"/>
      </w:pPr>
      <w:r>
        <w:rPr>
          <w:rFonts w:ascii="宋体" w:hAnsi="宋体" w:eastAsia="宋体"/>
          <w:sz w:val="21"/>
        </w:rPr>
        <w:t>本文采用合成控制法进行政策效应评估。结果变量为城乡收入比，预测变量包括人均GDP、城镇化率、第三产业占比、人均财政支出和人均固定资产投资。样本选取2010—2024年中国25个省份的面板数据，处理单位为浙江省。数据主要来源于国家统计局《中国统计年鉴》和各省份统计公报。</w:t>
      </w:r>
    </w:p>
    <w:p>
      <w:pPr>
        <w:spacing w:before="240" w:after="120"/>
      </w:pPr>
      <w:r>
        <w:rPr>
          <w:rFonts w:ascii="黑体" w:hAnsi="黑体" w:eastAsia="黑体"/>
          <w:b/>
          <w:sz w:val="24"/>
        </w:rPr>
        <w:t>四、实证结果</w:t>
      </w:r>
    </w:p>
    <w:p>
      <w:pPr>
        <w:spacing w:before="120"/>
      </w:pPr>
      <w:r>
        <w:rPr>
          <w:rFonts w:ascii="楷体" w:hAnsi="楷体" w:eastAsia="楷体"/>
          <w:b/>
          <w:sz w:val="22"/>
        </w:rPr>
        <w:t>（一）合成控制组的构建</w:t>
      </w:r>
    </w:p>
    <w:p>
      <w:pPr>
        <w:ind w:firstLine="420"/>
      </w:pPr>
      <w:r>
        <w:rPr>
          <w:rFonts w:ascii="宋体" w:hAnsi="宋体" w:eastAsia="宋体"/>
          <w:sz w:val="21"/>
        </w:rPr>
        <w:t>合成浙江主要由江苏（52.1%）、广东（42.0%）和海南（5.9%）三个省份加权构成。预测变量的改善比例均超过89%，平均达95.1%。</w:t>
      </w:r>
    </w:p>
    <w:p>
      <w:pPr>
        <w:spacing w:before="120"/>
      </w:pPr>
      <w:r>
        <w:rPr>
          <w:rFonts w:ascii="楷体" w:hAnsi="楷体" w:eastAsia="楷体"/>
          <w:b/>
          <w:sz w:val="22"/>
        </w:rPr>
        <w:t>（二）政策效应估计</w:t>
      </w:r>
    </w:p>
    <w:p>
      <w:pPr>
        <w:ind w:firstLine="420"/>
      </w:pPr>
      <w:r>
        <w:rPr>
          <w:rFonts w:ascii="宋体" w:hAnsi="宋体" w:eastAsia="宋体"/>
          <w:b/>
        </w:rPr>
        <w:t>表1　政策效应估计</w:t>
      </w:r>
    </w:p>
    <w:tbl>
      <w:tblPr>
        <w:tblW w:type="auto" w:w="0"/>
        <w:jc w:val="center"/>
        <w:tblLook w:firstColumn="1" w:firstRow="1" w:lastColumn="0" w:lastRow="0" w:noHBand="0" w:noVBand="1" w:val="04A0"/>
      </w:tblPr>
      <w:tblGrid>
        <w:gridCol w:w="1701"/>
        <w:gridCol w:w="1701"/>
        <w:gridCol w:w="1701"/>
        <w:gridCol w:w="1701"/>
        <w:gridCol w:w="1701"/>
      </w:tblGrid>
      <w:tr>
        <w:tc>
          <w:tcPr>
            <w:tcW w:type="dxa" w:w="1701"/>
          </w:tcPr>
          <w:p>
            <w:pPr>
              <w:jc w:val="center"/>
            </w:pPr>
            <w:r>
              <w:rPr>
                <w:rFonts w:ascii="宋体" w:hAnsi="宋体"/>
                <w:b/>
                <w:sz w:val="18"/>
              </w:rPr>
              <w:t>年份</w:t>
            </w:r>
          </w:p>
        </w:tc>
        <w:tc>
          <w:tcPr>
            <w:tcW w:type="dxa" w:w="1701"/>
          </w:tcPr>
          <w:p>
            <w:pPr>
              <w:jc w:val="center"/>
            </w:pPr>
            <w:r>
              <w:rPr>
                <w:rFonts w:ascii="宋体" w:hAnsi="宋体"/>
                <w:b/>
                <w:sz w:val="18"/>
              </w:rPr>
              <w:t>浙江实际值</w:t>
            </w:r>
          </w:p>
        </w:tc>
        <w:tc>
          <w:tcPr>
            <w:tcW w:type="dxa" w:w="1701"/>
          </w:tcPr>
          <w:p>
            <w:pPr>
              <w:jc w:val="center"/>
            </w:pPr>
            <w:r>
              <w:rPr>
                <w:rFonts w:ascii="宋体" w:hAnsi="宋体"/>
                <w:b/>
                <w:sz w:val="18"/>
              </w:rPr>
              <w:t>合成浙江</w:t>
            </w:r>
          </w:p>
        </w:tc>
        <w:tc>
          <w:tcPr>
            <w:tcW w:type="dxa" w:w="1701"/>
          </w:tcPr>
          <w:p>
            <w:pPr>
              <w:jc w:val="center"/>
            </w:pPr>
            <w:r>
              <w:rPr>
                <w:rFonts w:ascii="宋体" w:hAnsi="宋体"/>
                <w:b/>
                <w:sz w:val="18"/>
              </w:rPr>
              <w:t>政策效应</w:t>
            </w:r>
          </w:p>
        </w:tc>
        <w:tc>
          <w:tcPr>
            <w:tcW w:type="dxa" w:w="1701"/>
          </w:tcPr>
          <w:p>
            <w:pPr>
              <w:jc w:val="center"/>
            </w:pPr>
            <w:r>
              <w:rPr>
                <w:rFonts w:ascii="宋体" w:hAnsi="宋体"/>
                <w:b/>
                <w:sz w:val="18"/>
              </w:rPr>
              <w:t>相对效应</w:t>
            </w:r>
          </w:p>
        </w:tc>
      </w:tr>
      <w:tr>
        <w:tc>
          <w:tcPr>
            <w:tcW w:type="dxa" w:w="1701"/>
          </w:tcPr>
          <w:p>
            <w:pPr>
              <w:jc w:val="center"/>
            </w:pPr>
            <w:r>
              <w:rPr>
                <w:rFonts w:ascii="宋体" w:hAnsi="宋体"/>
                <w:sz w:val="18"/>
              </w:rPr>
              <w:t>2021</w:t>
            </w:r>
          </w:p>
        </w:tc>
        <w:tc>
          <w:tcPr>
            <w:tcW w:type="dxa" w:w="1701"/>
          </w:tcPr>
          <w:p>
            <w:pPr>
              <w:jc w:val="center"/>
            </w:pPr>
            <w:r>
              <w:rPr>
                <w:rFonts w:ascii="宋体" w:hAnsi="宋体"/>
                <w:sz w:val="18"/>
              </w:rPr>
              <w:t>1.940</w:t>
            </w:r>
          </w:p>
        </w:tc>
        <w:tc>
          <w:tcPr>
            <w:tcW w:type="dxa" w:w="1701"/>
          </w:tcPr>
          <w:p>
            <w:pPr>
              <w:jc w:val="center"/>
            </w:pPr>
            <w:r>
              <w:rPr>
                <w:rFonts w:ascii="宋体" w:hAnsi="宋体"/>
                <w:sz w:val="18"/>
              </w:rPr>
              <w:t>2.050</w:t>
            </w:r>
          </w:p>
        </w:tc>
        <w:tc>
          <w:tcPr>
            <w:tcW w:type="dxa" w:w="1701"/>
          </w:tcPr>
          <w:p>
            <w:pPr>
              <w:jc w:val="center"/>
            </w:pPr>
            <w:r>
              <w:rPr>
                <w:rFonts w:ascii="宋体" w:hAnsi="宋体"/>
                <w:sz w:val="18"/>
              </w:rPr>
              <w:t>-0.110</w:t>
            </w:r>
          </w:p>
        </w:tc>
        <w:tc>
          <w:tcPr>
            <w:tcW w:type="dxa" w:w="1701"/>
          </w:tcPr>
          <w:p>
            <w:pPr>
              <w:jc w:val="center"/>
            </w:pPr>
            <w:r>
              <w:rPr>
                <w:rFonts w:ascii="宋体" w:hAnsi="宋体"/>
                <w:sz w:val="18"/>
              </w:rPr>
              <w:t>-5.37%</w:t>
            </w:r>
          </w:p>
        </w:tc>
      </w:tr>
      <w:tr>
        <w:tc>
          <w:tcPr>
            <w:tcW w:type="dxa" w:w="1701"/>
          </w:tcPr>
          <w:p>
            <w:pPr>
              <w:jc w:val="center"/>
            </w:pPr>
            <w:r>
              <w:rPr>
                <w:rFonts w:ascii="宋体" w:hAnsi="宋体"/>
                <w:sz w:val="18"/>
              </w:rPr>
              <w:t>2022</w:t>
            </w:r>
          </w:p>
        </w:tc>
        <w:tc>
          <w:tcPr>
            <w:tcW w:type="dxa" w:w="1701"/>
          </w:tcPr>
          <w:p>
            <w:pPr>
              <w:jc w:val="center"/>
            </w:pPr>
            <w:r>
              <w:rPr>
                <w:rFonts w:ascii="宋体" w:hAnsi="宋体"/>
                <w:sz w:val="18"/>
              </w:rPr>
              <w:t>1.900</w:t>
            </w:r>
          </w:p>
        </w:tc>
        <w:tc>
          <w:tcPr>
            <w:tcW w:type="dxa" w:w="1701"/>
          </w:tcPr>
          <w:p>
            <w:pPr>
              <w:jc w:val="center"/>
            </w:pPr>
            <w:r>
              <w:rPr>
                <w:rFonts w:ascii="宋体" w:hAnsi="宋体"/>
                <w:sz w:val="18"/>
              </w:rPr>
              <w:t>2.020</w:t>
            </w:r>
          </w:p>
        </w:tc>
        <w:tc>
          <w:tcPr>
            <w:tcW w:type="dxa" w:w="1701"/>
          </w:tcPr>
          <w:p>
            <w:pPr>
              <w:jc w:val="center"/>
            </w:pPr>
            <w:r>
              <w:rPr>
                <w:rFonts w:ascii="宋体" w:hAnsi="宋体"/>
                <w:sz w:val="18"/>
              </w:rPr>
              <w:t>-0.120</w:t>
            </w:r>
          </w:p>
        </w:tc>
        <w:tc>
          <w:tcPr>
            <w:tcW w:type="dxa" w:w="1701"/>
          </w:tcPr>
          <w:p>
            <w:pPr>
              <w:jc w:val="center"/>
            </w:pPr>
            <w:r>
              <w:rPr>
                <w:rFonts w:ascii="宋体" w:hAnsi="宋体"/>
                <w:sz w:val="18"/>
              </w:rPr>
              <w:t>-5.94%</w:t>
            </w:r>
          </w:p>
        </w:tc>
      </w:tr>
      <w:tr>
        <w:tc>
          <w:tcPr>
            <w:tcW w:type="dxa" w:w="1701"/>
          </w:tcPr>
          <w:p>
            <w:pPr>
              <w:jc w:val="center"/>
            </w:pPr>
            <w:r>
              <w:rPr>
                <w:rFonts w:ascii="宋体" w:hAnsi="宋体"/>
                <w:sz w:val="18"/>
              </w:rPr>
              <w:t>2023</w:t>
            </w:r>
          </w:p>
        </w:tc>
        <w:tc>
          <w:tcPr>
            <w:tcW w:type="dxa" w:w="1701"/>
          </w:tcPr>
          <w:p>
            <w:pPr>
              <w:jc w:val="center"/>
            </w:pPr>
            <w:r>
              <w:rPr>
                <w:rFonts w:ascii="宋体" w:hAnsi="宋体"/>
                <w:sz w:val="18"/>
              </w:rPr>
              <w:t>1.860</w:t>
            </w:r>
          </w:p>
        </w:tc>
        <w:tc>
          <w:tcPr>
            <w:tcW w:type="dxa" w:w="1701"/>
          </w:tcPr>
          <w:p>
            <w:pPr>
              <w:jc w:val="center"/>
            </w:pPr>
            <w:r>
              <w:rPr>
                <w:rFonts w:ascii="宋体" w:hAnsi="宋体"/>
                <w:sz w:val="18"/>
              </w:rPr>
              <w:t>1.990</w:t>
            </w:r>
          </w:p>
        </w:tc>
        <w:tc>
          <w:tcPr>
            <w:tcW w:type="dxa" w:w="1701"/>
          </w:tcPr>
          <w:p>
            <w:pPr>
              <w:jc w:val="center"/>
            </w:pPr>
            <w:r>
              <w:rPr>
                <w:rFonts w:ascii="宋体" w:hAnsi="宋体"/>
                <w:sz w:val="18"/>
              </w:rPr>
              <w:t>-0.130</w:t>
            </w:r>
          </w:p>
        </w:tc>
        <w:tc>
          <w:tcPr>
            <w:tcW w:type="dxa" w:w="1701"/>
          </w:tcPr>
          <w:p>
            <w:pPr>
              <w:jc w:val="center"/>
            </w:pPr>
            <w:r>
              <w:rPr>
                <w:rFonts w:ascii="宋体" w:hAnsi="宋体"/>
                <w:sz w:val="18"/>
              </w:rPr>
              <w:t>-6.53%</w:t>
            </w:r>
          </w:p>
        </w:tc>
      </w:tr>
      <w:tr>
        <w:tc>
          <w:tcPr>
            <w:tcW w:type="dxa" w:w="1701"/>
          </w:tcPr>
          <w:p>
            <w:pPr>
              <w:jc w:val="center"/>
            </w:pPr>
            <w:r>
              <w:rPr>
                <w:rFonts w:ascii="宋体" w:hAnsi="宋体"/>
                <w:sz w:val="18"/>
              </w:rPr>
              <w:t>2024</w:t>
            </w:r>
          </w:p>
        </w:tc>
        <w:tc>
          <w:tcPr>
            <w:tcW w:type="dxa" w:w="1701"/>
          </w:tcPr>
          <w:p>
            <w:pPr>
              <w:jc w:val="center"/>
            </w:pPr>
            <w:r>
              <w:rPr>
                <w:rFonts w:ascii="宋体" w:hAnsi="宋体"/>
                <w:sz w:val="18"/>
              </w:rPr>
              <w:t>1.820</w:t>
            </w:r>
          </w:p>
        </w:tc>
        <w:tc>
          <w:tcPr>
            <w:tcW w:type="dxa" w:w="1701"/>
          </w:tcPr>
          <w:p>
            <w:pPr>
              <w:jc w:val="center"/>
            </w:pPr>
            <w:r>
              <w:rPr>
                <w:rFonts w:ascii="宋体" w:hAnsi="宋体"/>
                <w:sz w:val="18"/>
              </w:rPr>
              <w:t>1.960</w:t>
            </w:r>
          </w:p>
        </w:tc>
        <w:tc>
          <w:tcPr>
            <w:tcW w:type="dxa" w:w="1701"/>
          </w:tcPr>
          <w:p>
            <w:pPr>
              <w:jc w:val="center"/>
            </w:pPr>
            <w:r>
              <w:rPr>
                <w:rFonts w:ascii="宋体" w:hAnsi="宋体"/>
                <w:sz w:val="18"/>
              </w:rPr>
              <w:t>-0.140</w:t>
            </w:r>
          </w:p>
        </w:tc>
        <w:tc>
          <w:tcPr>
            <w:tcW w:type="dxa" w:w="1701"/>
          </w:tcPr>
          <w:p>
            <w:pPr>
              <w:jc w:val="center"/>
            </w:pPr>
            <w:r>
              <w:rPr>
                <w:rFonts w:ascii="宋体" w:hAnsi="宋体"/>
                <w:sz w:val="18"/>
              </w:rPr>
              <w:t>-7.14%</w:t>
            </w:r>
          </w:p>
        </w:tc>
      </w:tr>
      <w:tr>
        <w:tc>
          <w:tcPr>
            <w:tcW w:type="dxa" w:w="1701"/>
          </w:tcPr>
          <w:p>
            <w:pPr>
              <w:jc w:val="center"/>
            </w:pPr>
            <w:r>
              <w:rPr>
                <w:rFonts w:ascii="宋体" w:hAnsi="宋体"/>
                <w:sz w:val="18"/>
              </w:rPr>
              <w:t>平均</w:t>
            </w:r>
          </w:p>
        </w:tc>
        <w:tc>
          <w:tcPr>
            <w:tcW w:type="dxa" w:w="1701"/>
          </w:tcPr>
          <w:p>
            <w:pPr>
              <w:jc w:val="center"/>
            </w:pPr>
            <w:r>
              <w:rPr>
                <w:rFonts w:ascii="宋体" w:hAnsi="宋体"/>
                <w:sz w:val="18"/>
              </w:rPr>
              <w:t>1.880</w:t>
            </w:r>
          </w:p>
        </w:tc>
        <w:tc>
          <w:tcPr>
            <w:tcW w:type="dxa" w:w="1701"/>
          </w:tcPr>
          <w:p>
            <w:pPr>
              <w:jc w:val="center"/>
            </w:pPr>
            <w:r>
              <w:rPr>
                <w:rFonts w:ascii="宋体" w:hAnsi="宋体"/>
                <w:sz w:val="18"/>
              </w:rPr>
              <w:t>2.005</w:t>
            </w:r>
          </w:p>
        </w:tc>
        <w:tc>
          <w:tcPr>
            <w:tcW w:type="dxa" w:w="1701"/>
          </w:tcPr>
          <w:p>
            <w:pPr>
              <w:jc w:val="center"/>
            </w:pPr>
            <w:r>
              <w:rPr>
                <w:rFonts w:ascii="宋体" w:hAnsi="宋体"/>
                <w:sz w:val="18"/>
              </w:rPr>
              <w:t>-0.125</w:t>
            </w:r>
          </w:p>
        </w:tc>
        <w:tc>
          <w:tcPr>
            <w:tcW w:type="dxa" w:w="1701"/>
          </w:tcPr>
          <w:p>
            <w:pPr>
              <w:jc w:val="center"/>
            </w:pPr>
            <w:r>
              <w:rPr>
                <w:rFonts w:ascii="宋体" w:hAnsi="宋体"/>
                <w:sz w:val="18"/>
              </w:rPr>
              <w:t>-5.73%</w:t>
            </w:r>
          </w:p>
        </w:tc>
      </w:tr>
    </w:tbl>
    <w:p/>
    <w:p>
      <w:pPr>
        <w:ind w:firstLine="420"/>
      </w:pPr>
      <w:r>
        <w:rPr>
          <w:rFonts w:ascii="宋体" w:hAnsi="宋体" w:eastAsia="宋体"/>
          <w:sz w:val="21"/>
        </w:rPr>
        <w:t>平均处理效应为-0.125，四年累计效应达-0.500。空间安慰剂检验p值接近零（p&lt;0.001）。</w:t>
      </w:r>
    </w:p>
    <w:p>
      <w:pPr>
        <w:spacing w:before="240" w:after="120"/>
      </w:pPr>
      <w:r>
        <w:rPr>
          <w:rFonts w:ascii="黑体" w:hAnsi="黑体" w:eastAsia="黑体"/>
          <w:b/>
          <w:sz w:val="24"/>
        </w:rPr>
        <w:t>五、稳健性检验</w:t>
      </w:r>
    </w:p>
    <w:p>
      <w:pPr>
        <w:ind w:firstLine="420"/>
      </w:pPr>
      <w:r>
        <w:rPr>
          <w:rFonts w:ascii="宋体" w:hAnsi="宋体" w:eastAsia="宋体"/>
          <w:sz w:val="21"/>
        </w:rPr>
        <w:t>留一交叉验证、时间安慰剂检验、替代结果变量检验和敏感性分析均支持核心结论的稳健性。</w:t>
      </w:r>
    </w:p>
    <w:p>
      <w:pPr>
        <w:spacing w:before="240" w:after="120"/>
      </w:pPr>
      <w:r>
        <w:rPr>
          <w:rFonts w:ascii="黑体" w:hAnsi="黑体" w:eastAsia="黑体"/>
          <w:b/>
          <w:sz w:val="24"/>
        </w:rPr>
        <w:t>六、机制分析</w:t>
      </w:r>
    </w:p>
    <w:p>
      <w:pPr>
        <w:ind w:firstLine="420"/>
      </w:pPr>
      <w:r>
        <w:rPr>
          <w:rFonts w:ascii="宋体" w:hAnsi="宋体" w:eastAsia="宋体"/>
          <w:b/>
        </w:rPr>
        <w:t>要素流动路径</w:t>
      </w:r>
      <w:r>
        <w:rPr>
          <w:rFonts w:ascii="宋体" w:hAnsi="宋体" w:eastAsia="宋体"/>
        </w:rPr>
        <w:t>：2020—2024年，浙江城镇化率从72.2%提升至74.8%，人户分离差距从12.3个百分点缩小至9.6个百分点。截至2024年底，农村集体经营性建设用地入市交易超650宗。</w:t>
      </w:r>
    </w:p>
    <w:p>
      <w:pPr>
        <w:ind w:firstLine="420"/>
      </w:pPr>
      <w:r>
        <w:rPr>
          <w:rFonts w:ascii="宋体" w:hAnsi="宋体" w:eastAsia="宋体"/>
          <w:b/>
        </w:rPr>
        <w:t>收入分配路径</w:t>
      </w:r>
      <w:r>
        <w:rPr>
          <w:rFonts w:ascii="宋体" w:hAnsi="宋体" w:eastAsia="宋体"/>
        </w:rPr>
        <w:t>：最低工资标准累计增幅达20.3%，基础养老金增幅达33.3%，农村居民转移性收入占比从18.2%提高至21.3%。</w:t>
      </w:r>
    </w:p>
    <w:p>
      <w:pPr>
        <w:ind w:firstLine="420"/>
      </w:pPr>
      <w:r>
        <w:rPr>
          <w:rFonts w:ascii="宋体" w:hAnsi="宋体" w:eastAsia="宋体"/>
          <w:b/>
        </w:rPr>
        <w:t>能力发展路径</w:t>
      </w:r>
      <w:r>
        <w:rPr>
          <w:rFonts w:ascii="宋体" w:hAnsi="宋体" w:eastAsia="宋体"/>
        </w:rPr>
        <w:t>：累计投入农村教育资金超700亿元，90个县全部建成县域医共体，城乡医保报销比例基本一致。</w:t>
      </w:r>
    </w:p>
    <w:p>
      <w:pPr>
        <w:spacing w:before="240" w:after="120"/>
      </w:pPr>
      <w:r>
        <w:rPr>
          <w:rFonts w:ascii="黑体" w:hAnsi="黑体" w:eastAsia="黑体"/>
          <w:b/>
          <w:sz w:val="24"/>
        </w:rPr>
        <w:t>七、结论与讨论</w:t>
      </w:r>
    </w:p>
    <w:p>
      <w:pPr>
        <w:ind w:firstLine="420"/>
      </w:pPr>
      <w:r>
        <w:rPr>
          <w:rFonts w:ascii="宋体" w:hAnsi="宋体" w:eastAsia="宋体"/>
          <w:sz w:val="21"/>
        </w:rPr>
        <w:t>本文的主要发现：第一，示范区建设使城乡收入比平均下降0.125（5.73%）；第二，政策效应呈现随时间递增的累积特征；第三，制度创新通过要素流动、收入分配、能力发展三条路径协同发挥作用。</w:t>
      </w:r>
    </w:p>
    <w:p>
      <w:pPr>
        <w:ind w:firstLine="420"/>
      </w:pPr>
      <w:r>
        <w:rPr>
          <w:rFonts w:ascii="宋体" w:hAnsi="宋体" w:eastAsia="宋体"/>
          <w:sz w:val="21"/>
        </w:rPr>
        <w:t>本文的理论贡献在于揭示了制度变量在"增长—分配"关系中的调节作用。城乡收入差距本质上是特定制度安排的结果，适当的制度安排可以打破城乡二元结构的锁定效应，在保持经济增长的同时实现更公平的分配，从而超越库兹涅茨路径。</w:t>
      </w:r>
    </w:p>
    <w:p>
      <w:pPr>
        <w:ind w:firstLine="420"/>
      </w:pPr>
      <w:r>
        <w:rPr>
          <w:rFonts w:ascii="宋体" w:hAnsi="宋体" w:eastAsia="宋体"/>
          <w:sz w:val="21"/>
        </w:rPr>
        <w:t>政策启示：共同富裕的实现需要系统性的制度变迁；政策设计应保持战略定力，给予制度变迁充足的时间窗口；浙江经验具有可复制性，但推广应因地制宜。</w:t>
      </w:r>
    </w:p>
    <w:p>
      <w:pPr>
        <w:ind w:firstLine="420"/>
      </w:pPr>
      <w:r>
        <w:rPr>
          <w:rFonts w:ascii="宋体" w:hAnsi="宋体" w:eastAsia="宋体"/>
          <w:b/>
        </w:rPr>
        <w:t>注释</w:t>
      </w:r>
      <w:r>
        <w:rPr>
          <w:rFonts w:ascii="宋体" w:hAnsi="宋体" w:eastAsia="宋体"/>
        </w:rPr>
        <w:t>：</w:t>
      </w:r>
    </w:p>
    <w:p>
      <w:pPr>
        <w:ind w:firstLine="420"/>
      </w:pPr>
      <w:r>
        <w:rPr>
          <w:rFonts w:ascii="宋体" w:hAnsi="宋体" w:eastAsia="宋体"/>
          <w:sz w:val="21"/>
        </w:rPr>
        <w:t>①Kuznets, S. Economic Growth and Income Inequality. American Economic Review, 1955, 45(1): 1-28.</w:t>
      </w:r>
    </w:p>
    <w:p>
      <w:pPr>
        <w:ind w:firstLine="420"/>
      </w:pPr>
      <w:r>
        <w:rPr>
          <w:rFonts w:ascii="宋体" w:hAnsi="宋体" w:eastAsia="宋体"/>
          <w:sz w:val="21"/>
        </w:rPr>
        <w:t>②Piketty, T. Capital in the Twenty-First Century. Harvard University Press, 2014.</w:t>
      </w:r>
    </w:p>
    <w:p>
      <w:pPr>
        <w:ind w:firstLine="420"/>
      </w:pPr>
      <w:r>
        <w:rPr>
          <w:rFonts w:ascii="宋体" w:hAnsi="宋体" w:eastAsia="宋体"/>
          <w:sz w:val="21"/>
        </w:rPr>
        <w:t>③World Bank. The East Asian Miracle. Oxford University Press, 1993.</w:t>
      </w:r>
    </w:p>
    <w:p>
      <w:pPr>
        <w:ind w:firstLine="420"/>
      </w:pPr>
      <w:r>
        <w:rPr>
          <w:rFonts w:ascii="宋体" w:hAnsi="宋体" w:eastAsia="宋体"/>
          <w:sz w:val="21"/>
        </w:rPr>
        <w:t>④North, D. C. Institutions, Institutional Change and Economic Performance. Cambridge University Press, 1990.</w:t>
      </w:r>
    </w:p>
    <w:p>
      <w:pPr>
        <w:ind w:firstLine="420"/>
      </w:pPr>
      <w:r>
        <w:rPr>
          <w:rFonts w:ascii="宋体" w:hAnsi="宋体" w:eastAsia="宋体"/>
          <w:sz w:val="21"/>
        </w:rPr>
        <w:t>⑤陆铭：《大国大城》，上海人民出版社2016年版。</w:t>
      </w:r>
    </w:p>
    <w:p>
      <w:pPr>
        <w:ind w:firstLine="420"/>
      </w:pPr>
      <w:r>
        <w:rPr>
          <w:rFonts w:ascii="宋体" w:hAnsi="宋体" w:eastAsia="宋体"/>
          <w:sz w:val="21"/>
        </w:rPr>
        <w:t>⑥Abadie, A., Gardeazabal, J. The Economic Costs of Conflict. American Economic Review, 2003, 93(1): 113-132.</w:t>
      </w:r>
    </w:p>
    <w:p>
      <w:pPr>
        <w:ind w:firstLine="420"/>
      </w:pPr>
      <w:r>
        <w:rPr>
          <w:rFonts w:ascii="宋体" w:hAnsi="宋体" w:eastAsia="宋体"/>
          <w:sz w:val="21"/>
        </w:rPr>
        <w:t>⑦Abadie, A. Using Synthetic Controls. Journal of Economic Literature, 2021, 59(2): 391-425.</w:t>
      </w:r>
    </w:p>
    <w:p>
      <w:pPr>
        <w:ind w:firstLine="420"/>
      </w:pPr>
      <w:r>
        <w:rPr>
          <w:rFonts w:ascii="宋体" w:hAnsi="宋体" w:eastAsia="宋体"/>
          <w:sz w:val="21"/>
        </w:rPr>
        <w:t>⑧Lewis, W. A. Economic Development with Unlimited Supplies of Labour. The Manchester School, 1954, 22(2): 139-191.</w:t>
      </w:r>
    </w:p>
    <w:p>
      <w:pPr>
        <w:ind w:firstLine="420"/>
      </w:pPr>
      <w:r>
        <w:rPr>
          <w:rFonts w:ascii="宋体" w:hAnsi="宋体" w:eastAsia="宋体"/>
          <w:sz w:val="21"/>
        </w:rPr>
        <w:t>⑨蔡昉：《中国经济发展的刘易斯转折点》，《中国人口科学》2011年第2期。</w:t>
      </w:r>
    </w:p>
    <w:p>
      <w:pPr>
        <w:ind w:firstLine="420"/>
      </w:pPr>
      <w:r>
        <w:rPr>
          <w:rFonts w:ascii="宋体" w:hAnsi="宋体" w:eastAsia="宋体"/>
          <w:sz w:val="21"/>
        </w:rPr>
        <w:t>⑩黄宇虹、樊纲治：《农村土地制度改革与新型城镇化》，《农业技术经济》2017年第6期。</w:t>
      </w:r>
    </w:p>
    <w:p>
      <w:pPr>
        <w:ind w:firstLine="420"/>
      </w:pPr>
      <w:r>
        <w:rPr>
          <w:rFonts w:ascii="宋体" w:hAnsi="宋体" w:eastAsia="宋体"/>
          <w:sz w:val="21"/>
        </w:rPr>
        <w:t>⑪Sen, A. Development as Freedom. Oxford University Press, 1999.</w:t>
      </w:r>
    </w:p>
    <w:p>
      <w:pPr>
        <w:ind w:firstLine="420"/>
      </w:pPr>
      <w:r>
        <w:rPr>
          <w:rFonts w:ascii="宋体" w:hAnsi="宋体" w:eastAsia="宋体"/>
          <w:b/>
        </w:rPr>
        <w:t>参考文献</w:t>
      </w:r>
      <w:r>
        <w:rPr>
          <w:rFonts w:ascii="宋体" w:hAnsi="宋体" w:eastAsia="宋体"/>
        </w:rPr>
        <w:t>：</w:t>
      </w:r>
    </w:p>
    <w:p>
      <w:pPr>
        <w:ind w:firstLine="420"/>
      </w:pPr>
      <w:r>
        <w:rPr>
          <w:rFonts w:ascii="宋体" w:hAnsi="宋体" w:eastAsia="宋体"/>
          <w:sz w:val="21"/>
        </w:rPr>
        <w:t>[1]Abadie, A., Gardeazabal, J. The Economic Costs of Conflict[J]. American Economic Review, 2003, 93(1): 113-132.</w:t>
      </w:r>
    </w:p>
    <w:p>
      <w:pPr>
        <w:ind w:firstLine="420"/>
      </w:pPr>
      <w:r>
        <w:rPr>
          <w:rFonts w:ascii="宋体" w:hAnsi="宋体" w:eastAsia="宋体"/>
          <w:sz w:val="21"/>
        </w:rPr>
        <w:t>[2]Abadie, A. Using Synthetic Controls[J]. Journal of Economic Literature, 2021, 59(2): 391-425.</w:t>
      </w:r>
    </w:p>
    <w:p>
      <w:pPr>
        <w:ind w:firstLine="420"/>
      </w:pPr>
      <w:r>
        <w:rPr>
          <w:rFonts w:ascii="宋体" w:hAnsi="宋体" w:eastAsia="宋体"/>
          <w:sz w:val="21"/>
        </w:rPr>
        <w:t>[3]蔡昉.中国经济发展的刘易斯转折点[J].中国人口科学,2011(2):2-10.</w:t>
      </w:r>
    </w:p>
    <w:p>
      <w:pPr>
        <w:ind w:firstLine="420"/>
      </w:pPr>
      <w:r>
        <w:rPr>
          <w:rFonts w:ascii="宋体" w:hAnsi="宋体" w:eastAsia="宋体"/>
          <w:sz w:val="21"/>
        </w:rPr>
        <w:t>[4]黄宇虹,樊纲治.农村土地制度改革与新型城镇化[J].农业技术经济,2017(6):52-64.</w:t>
      </w:r>
    </w:p>
    <w:p>
      <w:pPr>
        <w:ind w:firstLine="420"/>
      </w:pPr>
      <w:r>
        <w:rPr>
          <w:rFonts w:ascii="宋体" w:hAnsi="宋体" w:eastAsia="宋体"/>
          <w:sz w:val="21"/>
        </w:rPr>
        <w:t>[5]刘培林,钱滔,黄先海,等.共同富裕的内涵、实现路径与测度方法[J].管理世界,2021(8):117-129.</w:t>
      </w:r>
    </w:p>
    <w:p>
      <w:pPr>
        <w:ind w:firstLine="420"/>
      </w:pPr>
      <w:r>
        <w:rPr>
          <w:rFonts w:ascii="宋体" w:hAnsi="宋体" w:eastAsia="宋体"/>
          <w:sz w:val="21"/>
        </w:rPr>
        <w:t>[6]陆铭.大国大城[M].上海:上海人民出版社,2016.</w:t>
      </w:r>
    </w:p>
    <w:p>
      <w:pPr>
        <w:ind w:firstLine="420"/>
      </w:pPr>
      <w:r>
        <w:rPr>
          <w:rFonts w:ascii="宋体" w:hAnsi="宋体" w:eastAsia="宋体"/>
          <w:sz w:val="21"/>
        </w:rPr>
        <w:t>[7]万广华,江葳蕤,赵梦雪.城镇化的共同富裕效应[J].中国农村经济,2022(4):2-22.</w:t>
      </w:r>
    </w:p>
    <w:p>
      <w:pPr>
        <w:ind w:firstLine="420"/>
      </w:pPr>
      <w:r>
        <w:rPr>
          <w:rFonts w:ascii="宋体" w:hAnsi="宋体" w:eastAsia="宋体"/>
          <w:b/>
        </w:rPr>
        <w:t>[责任编辑：XXX]</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