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制度变迁视角下区域共同富裕的实现路径与效应评估</w:t>
      </w:r>
    </w:p>
    <w:p>
      <w:pPr>
        <w:pStyle w:val="Heading1"/>
        <w:jc w:val="center"/>
      </w:pPr>
      <w:r>
        <w:t>基于浙江共同富裕示范区建设的合成控制研究</w:t>
      </w:r>
    </w:p>
    <w:p>
      <w:r>
        <w:rPr>
          <w:b/>
        </w:rPr>
        <w:t>摘 要：</w:t>
      </w:r>
      <w:r>
        <w:t>如何在经济增长中实现分配公平，是发展经济学的核心命题，也是中国式现代化面临的重大挑战。本文将共同富裕置于制度变迁的理论视野中加以审视，以2021年浙江共同富裕示范区建设这一准自然实验为研究对象，运用合成控制法构建反事实分析框架，系统评估制度创新对城乡收入差距的因果效应。研究发现，示范区建设使浙江省城乡收入比平均下降0.125，相对降幅达5.73%，且这一效应呈现出随时间递增的累积特征。进一步的机制分析表明，制度创新通过重塑城乡要素流动格局、优化收入分配结构、推进公共服务均等化三重路径，打破了城乡二元结构的制度锁定，驱动城乡收入趋同。本文的理论意涵在于揭示了制度变量在"增长—分配"关系中的调节作用，为超越库兹涅茨曲线的路径依赖提供了中国经验；实践启示在于，共同富裕的实现需要系统性的制度重构，而非单一政策的渐进调整。</w:t>
      </w:r>
    </w:p>
    <w:p>
      <w:r>
        <w:rPr>
          <w:b/>
        </w:rPr>
        <w:t>关键词：</w:t>
      </w:r>
      <w:r>
        <w:t>共同富裕；制度变迁；城乡收入差距；合成控制法；浙江示范区</w:t>
      </w:r>
    </w:p>
    <w:p>
      <w:pPr>
        <w:pStyle w:val="Heading1"/>
      </w:pPr>
      <w:r>
        <w:t>一、引言：增长与分配的世纪之问</w:t>
      </w:r>
    </w:p>
    <w:p>
      <w:pPr>
        <w:ind w:firstLine="420"/>
      </w:pPr>
      <w:r>
        <w:t>经济增长与收入分配的关系，是贯穿发展经济学百年历程的核心命题。自库兹涅茨（Kuznets，1955）提出著名的"倒U型曲线"假说以来，学界围绕"增长是否必然伴随不平等"这一问题展开了持久而深入的讨论。库兹涅茨基于美、英、德等国的历史数据发现，收入不平等在经济发展初期趋于扩大，达到顶点后逐渐缩小，据此推断不平等是现代化进程中不可逾越的阶段。这一判断深刻影响了战后发展中国家的政策取向——既然不平等是增长的必要代价，那么"先增长、后分配"便具有了某种历史合理性。</w:t>
      </w:r>
    </w:p>
    <w:p>
      <w:pPr>
        <w:ind w:firstLine="420"/>
      </w:pPr>
      <w:r>
        <w:t>然而，库兹涅茨曲线在实证检验中遭遇了越来越多的挑战。皮凯蒂（Piketty，2014）对二十余个国家两百年收入分配史的系统梳理表明，资本收益率长期高于经济增长率（r &gt; g）是不平等的结构性根源，而非经济发展阶段的自然产物。更重要的是，东亚新兴经济体的发展经验表明，通过适当的制度安排和政策干预，完全可以在快速增长中实现相对公平的分配（World Bank，1993）。这就引出了一个根本性的理论问题：</w:t>
      </w:r>
      <w:r>
        <w:rPr>
          <w:b/>
        </w:rPr>
        <w:t>制度变量在"增长—分配"关系中究竟扮演何种角色？制度创新能否为发展中国家提供一条超越库兹涅茨路径的替代选择？</w:t>
      </w:r>
      <w:r/>
    </w:p>
    <w:p>
      <w:pPr>
        <w:ind w:firstLine="420"/>
      </w:pPr>
      <w:r>
        <w:t>中国的发展实践为回答这一问题提供了独特的研究场域。改革开放四十余年来，中国创造了人类历史上规模最大、速度最快的经济增长奇迹，但与此同时，收入差距特别是城乡收入差距也经历了显著扩大。国家统计局数据显示，城乡居民收入比从1985年的1.86倍攀升至2009年的3.33倍，此后虽有所回落，但2024年仍维持在2.34倍的较高水平。更值得关注的是，尽管相对差距有所缩小，城乡居民收入的绝对差距却从1985年的不足300元扩大至2024年的超过3万元。这一"相对差距缩小、绝对差距扩大"的悖论，深刻揭示了中国实现共同富裕面临的结构性挑战。</w:t>
      </w:r>
    </w:p>
    <w:p>
      <w:pPr>
        <w:ind w:firstLine="420"/>
      </w:pPr>
      <w:r>
        <w:t>城乡收入差距的形成与固化，本质上是城乡二元结构的制度锁定效应。诺斯（North，1990）的制度变迁理论指出，制度一旦形成便具有路径依赖特征，即使低效率的制度安排也可能因转换成本过高而被长期"锁定"。中国的户籍制度、土地制度和公共服务供给制度，共同构筑了城乡要素流动的制度壁垒。户籍制度将人口划分为"农业"与"非农业"两大类别，并与教育、医疗、住房、社保等公共服务权利挂钩，形成了"身份—权利—福利"的制度链条（陆铭，2016）。土地制度使农民对土地仅拥有承包经营权而非完整的财产权利，农村资产难以市场化流转和价值变现。公共服务的城市偏向进一步加剧了城乡人力资本和社会资本的分化。这些制度因素相互交织、彼此强化，使城乡二元结构呈现出高度的稳定性和自我复制性。</w:t>
      </w:r>
    </w:p>
    <w:p>
      <w:pPr>
        <w:ind w:firstLine="420"/>
      </w:pPr>
      <w:r>
        <w:t>正是在这一背景下，2021年6月中共中央、国务院批复浙江建设共同富裕示范区，成为观察制度创新与共同富裕关系的重要"自然实验"。浙江是中国市场经济最为发达的省份之一，民营经济活跃、城乡统筹较好、制度创新意识强，2020年城乡收入比为1.96倍，显著低于全国平均水平。选择浙江作为示范区，既是对其改革创新能力的认可，也意味着在"优等生"基础上探索共同富裕的更高标准。示范区建设涵盖收入分配制度改革、城乡融合发展、公共服务均等化等系统性制度创新，为研究制度变迁与共同富裕的关系提供了理想的分析案例。</w:t>
      </w:r>
    </w:p>
    <w:p>
      <w:pPr>
        <w:ind w:firstLine="420"/>
      </w:pPr>
      <w:r>
        <w:t>本文试图回答的核心问题是：</w:t>
      </w:r>
      <w:r>
        <w:rPr>
          <w:b/>
        </w:rPr>
        <w:t>浙江共同富裕示范区建设是否显著缩小了城乡收入差距？如果是，其作用机制是什么？政策效应如何随时间演变？</w:t>
      </w:r>
      <w:r>
        <w:t>回答这些问题不仅具有重要的理论价值——有助于深化对制度变量在"增长—分配"关系中作用的理解，也具有迫切的现实意义——为全国推进共同富裕提供可资借鉴的经验参照。</w:t>
      </w:r>
    </w:p>
    <w:p>
      <w:pPr>
        <w:ind w:firstLine="420"/>
      </w:pPr>
      <w:r>
        <w:t>需要指出的是，政策效应评估面临着根本性的方法论挑战：我们只能观察到浙江成为示范区后的城乡收入差距变化，无法观察到假如浙江未成为示范区时的变化轨迹——这就是计量经济学中著名的"反事实推断"难题。传统的双重差分法要求处理组与控制组具有平行的变化趋势，但浙江在经济发展、制度环境等方面的独特性使其难以找到完全可比的对照省份。为克服这一困难，本文采用合成控制法（Synthetic Control Method），通过对多个控制省份进行数据驱动的加权组合，构建一个在政策实施前与浙江高度相似的"合成浙江"，以此作为反事实的最佳近似，从而实现对政策效应的因果识别。</w:t>
      </w:r>
    </w:p>
    <w:p>
      <w:pPr>
        <w:ind w:firstLine="420"/>
      </w:pPr>
      <w:r>
        <w:t>本文的结构安排如下：第二部分构建理论分析框架，梳理制度创新驱动共同富裕的内在逻辑；第三部分介绍研究设计，阐述合成控制法的原理与实施；第四部分报告实证结果，评估政策效应并进行统计推断；第五部分进行稳健性检验；第六部分深入讨论作用机制；第七部分总结研究结论并提出政策建议。</w:t>
      </w:r>
    </w:p>
    <w:p>
      <w:pPr>
        <w:pStyle w:val="Heading1"/>
      </w:pPr>
      <w:r>
        <w:t>二、理论框架：制度创新何以驱动共同富裕</w:t>
      </w:r>
    </w:p>
    <w:p>
      <w:pPr>
        <w:pStyle w:val="Heading2"/>
      </w:pPr>
      <w:r>
        <w:t>（一）城乡二元结构的制度根源</w:t>
      </w:r>
    </w:p>
    <w:p>
      <w:pPr>
        <w:ind w:firstLine="420"/>
      </w:pPr>
      <w:r>
        <w:t>理解共同富裕的实现路径，首先需要追问城乡收入差距的形成机制。刘易斯（Lewis，1954）的二元经济理论提供了经典的分析框架。在刘易斯看来，发展中经济体普遍存在传统农业部门与现代工业部门并存的结构性特征：农业部门劳动力过剩、边际生产率接近于零，工业部门资本密集、劳动生产率较高。经济发展的过程就是农业剩余劳动力向工业部门转移的过程，当农业剩余劳动力耗竭、两部门工资趋于均等时，二元经济结构便自然消失。按照这一逻辑，城乡收入差距是经济发展特定阶段的必然现象，随着城镇化推进和劳动力转移，差距终将自动弥合。</w:t>
      </w:r>
    </w:p>
    <w:p>
      <w:pPr>
        <w:ind w:firstLine="420"/>
      </w:pPr>
      <w:r>
        <w:t>然而，中国的经验与刘易斯模型的预期存在明显偏离。改革开放以来，中国经历了人类历史上最大规模的人口流动，数以亿计的农村劳动力进入城市从事非农就业，但城乡收入差距不仅没有如理论预期般缩小，反而在相当长时期内持续扩大。这一悖论促使我们将目光转向制度因素。</w:t>
      </w:r>
    </w:p>
    <w:p>
      <w:pPr>
        <w:ind w:firstLine="420"/>
      </w:pPr>
      <w:r>
        <w:t>蔡昉（2011）敏锐地指出，中国的"刘易斯转折点"之所以姗姗来迟，根本原因在于制度障碍阻断了劳动力的自由流动。户籍制度是其中最关键的制度安排。1958年确立的户籍制度最初是为了控制人口流动、保障城市粮食供应和社会稳定，但随着时间推移，户籍逐渐与公共服务权利深度绑定，演变为一种"身份等级"制度。拥有城镇户籍意味着可以享受优质的教育、医疗、住房和社保服务，而农村户籍持有者即使在城市工作生活，也难以获得同等待遇。这种制度安排造成了劳动力流动的"半城镇化"现象——农民工在就业统计上被计入城镇，但在公共服务享有上仍被排斥在外，城乡收入差距的制度根源并未根本消除。</w:t>
      </w:r>
    </w:p>
    <w:p>
      <w:pPr>
        <w:ind w:firstLine="420"/>
      </w:pPr>
      <w:r>
        <w:t>土地制度是另一重要的制度约束。农村土地归集体所有，农民对承包地和宅基地仅拥有使用权而非所有权，这意味着农村最重要的资产——土地——难以进入市场流转和抵押融资。黄宇虹和樊纲治（2017）的研究表明，土地产权的不完整性严重制约了农民的财产性收入增长，也降低了其进城定居的经济能力和心理预期。更值得关注的是，在城镇化进程中，农村集体土地被征收转为国有建设用地，土地增值收益的绝大部分流向了政府和开发商，农民仅获得相对微薄的补偿，这进一步加剧了城乡财富分化。</w:t>
      </w:r>
    </w:p>
    <w:p>
      <w:pPr>
        <w:ind w:firstLine="420"/>
      </w:pPr>
      <w:r>
        <w:t>公共服务供给的城市偏向则从另一个维度固化了城乡差距。长期以来，财政资源优先配置于城市，农村地区的教育、医疗、养老等公共服务严重滞后。城乡教育资源差距导致人力资本积累的代际分化——农村孩子从一开始就输在了起跑线上；城乡医疗资源差距影响农村居民的健康状况和劳动生产率；城乡社保差距使农村居民面临更大的生命周期风险。阿玛蒂亚·森（Sen，1999）的可行能力理论深刻揭示，贫困的本质不是收入低下，而是可行能力的剥夺。公共服务的不均等正是对农村居民发展能力的系统性剥夺，使其陷入"低人力资本—低收入—低人力资本"的代际贫困陷阱。</w:t>
      </w:r>
    </w:p>
    <w:p>
      <w:pPr>
        <w:ind w:firstLine="420"/>
      </w:pPr>
      <w:r>
        <w:t>综上所述，城乡收入差距的形成与固化，并非市场经济的自然产物，而是特定制度安排的结果。户籍制度、土地制度和公共服务制度相互交织、彼此强化，形成了高度稳定的城乡二元结构。诺斯所言的"制度锁定"在中国城乡关系中得到了充分体现——尽管改革开放以来各项制度都有所松动，但整体的制度框架依然稳固，城乡二元结构具有强大的自我复制能力。这就意味着，打破城乡二元结构、实现共同富裕，必须依靠系统性的制度变迁，而非边际性的政策调整。</w:t>
      </w:r>
    </w:p>
    <w:p>
      <w:pPr>
        <w:pStyle w:val="Heading2"/>
      </w:pPr>
      <w:r>
        <w:t>（二）制度创新的作用机制</w:t>
      </w:r>
    </w:p>
    <w:p>
      <w:pPr>
        <w:ind w:firstLine="420"/>
      </w:pPr>
      <w:r>
        <w:t>既然城乡收入差距源于制度锁定，那么制度创新就成为破解这一困局的关键。浙江共同富裕示范区建设正是一次系统性的制度变迁尝试。根据《关于支持浙江高质量发展建设共同富裕示范区的意见》，示范区建设涵盖收入分配制度改革、城乡融合发展、公共服务均等化等多个领域，构成了相互关联、相互支撑的制度创新体系。理论上，这些制度创新通过三条相互交织的路径作用于城乡收入差距：要素流动路径、收入分配路径和能力发展路径。</w:t>
      </w:r>
    </w:p>
    <w:p>
      <w:pPr>
        <w:ind w:firstLine="420"/>
      </w:pPr>
      <w:r>
        <w:t>首先来看要素流动路径。刘易斯模型表明，劳动力从低生产率的农业部门向高生产率的工业部门转移，是缩小城乡收入差距的核心机制。但正如前文所述，制度障碍阻断了这一转移过程的充分展开。共同富裕示范区建设通过深化户籍制度改革，逐步剥离附着于户籍的公共服务权利，推进农业转移人口市民化，使进城农民能够真正融入城市、分享城市发展成果。与此同时，通过完善农村土地制度，赋予农民更完整的土地权利，激活农村沉睡资产，吸引城市资本和人才下乡，实现要素的双向流动。要素的自由流动使城乡要素报酬趋于均等化，从根本上侵蚀城乡收入差距的经济基础。</w:t>
      </w:r>
    </w:p>
    <w:p>
      <w:pPr>
        <w:ind w:firstLine="420"/>
      </w:pPr>
      <w:r>
        <w:t>其次是收入分配路径。收入差距不仅取决于要素禀赋，也取决于要素报酬的分配规则。在完全竞争的理想市场中，要素按其边际产出获得报酬，收入分配具有效率合理性。但现实中的制度扭曲——如劳动力市场分割、资本市场准入限制、信息不对称等——导致要素报酬偏离边际产出，形成不合理的收入差距。共同富裕示范区建设从初次分配、再分配和三次分配三个层次推进收入分配改革。初次分配层面，完善最低工资标准动态调整机制，提高劳动报酬在国民收入中的比重；再分配层面，优化税收结构，加大转移支付力度，扩大社会保障覆盖面，增强政府调节收入分配的能力；三次分配层面，引导和规范慈善事业发展，发挥社会力量在调节收入分配中的补充作用。三个层次的改革协同发力，优化了收入分配格局，使经济增长的成果更加公平地惠及城乡居民。</w:t>
      </w:r>
    </w:p>
    <w:p>
      <w:pPr>
        <w:ind w:firstLine="420"/>
      </w:pPr>
      <w:r>
        <w:t>第三是能力发展路径。正如森所强调的，减贫和共同富裕的根本在于提升人的可行能力。公共服务均等化正是通过提升农村居民的健康水平、教育程度和社会保障，增强其发展能力，使其有能力通过自身努力获得更高收入。共同富裕示范区建设系统推进基本公共服务均等化：教育领域，优化城乡学校布局，推进教师"县管校聘"，缩小城乡教育质量差距；医疗领域，推进县域医共体建设，提升基层医疗服务能力，让农村居民在家门口就能享受优质医疗服务；社保领域，完善城乡统一的基本养老保险和医疗保险制度，逐步缩小城乡待遇差距。公共服务均等化打破了能力贫困的代际传递，为农村居民的长期发展奠定了基础。</w:t>
      </w:r>
    </w:p>
    <w:p>
      <w:pPr>
        <w:ind w:firstLine="420"/>
      </w:pPr>
      <w:r>
        <w:t>需要强调的是，上述三条路径并非相互独立，而是相互交织、相互强化的。要素流动需要以公共服务均等化为前提——如果进城农民无法享受城市公共服务，其流动意愿和能力都会受到抑制；收入分配改革需要以要素流动为支撑——如果劳动力市场分割依旧，再分配政策的效果也会大打折扣；能力发展既是要素流动的结果，也是收入提升的前提。三条路径的协同作用，构成了制度创新驱动共同富裕的完整机制。</w:t>
      </w:r>
    </w:p>
    <w:p>
      <w:pPr>
        <w:pStyle w:val="Heading2"/>
      </w:pPr>
      <w:r>
        <w:t>（三）研究假说</w:t>
      </w:r>
    </w:p>
    <w:p>
      <w:pPr>
        <w:ind w:firstLine="420"/>
      </w:pPr>
      <w:r>
        <w:t>基于上述理论分析，本文提出以下研究假说：</w:t>
      </w:r>
    </w:p>
    <w:p>
      <w:pPr>
        <w:ind w:firstLine="420"/>
      </w:pPr>
      <w:r>
        <w:t>假说一（政策效应假说）：浙江共同富裕示范区建设通过系统性的制度创新，显著缩小了城乡收入差距。</w:t>
      </w:r>
    </w:p>
    <w:p>
      <w:pPr>
        <w:ind w:firstLine="420"/>
      </w:pPr>
      <w:r>
        <w:t>假说二（动态效应假说）：制度变迁的效应具有累积性特征，政策效应随时间推移逐步增强。</w:t>
      </w:r>
    </w:p>
    <w:p>
      <w:pPr>
        <w:ind w:firstLine="420"/>
      </w:pPr>
      <w:r>
        <w:t>这两个假说在逻辑上存在递进关系。假说一是对政策效应存在性的基本判断，假说二则进一步刻画效应的时间特征。制度变迁往往需要时间来发挥作用——新制度的建立需要过程，行为主体对新制度的适应需要学习，制度红利的释放需要积累。因此，如果共同富裕示范区建设确实产生了缩小城乡差距的效应，这一效应应当呈现出随时间递增的特征。</w:t>
      </w:r>
    </w:p>
    <w:p>
      <w:pPr>
        <w:pStyle w:val="Heading1"/>
      </w:pPr>
      <w:r>
        <w:t>三、研究设计：合成控制法的原理与实施</w:t>
      </w:r>
    </w:p>
    <w:p>
      <w:pPr>
        <w:pStyle w:val="Heading2"/>
      </w:pPr>
      <w:r>
        <w:t>（一）方法选择的逻辑</w:t>
      </w:r>
    </w:p>
    <w:p>
      <w:pPr>
        <w:ind w:firstLine="420"/>
      </w:pPr>
      <w:r>
        <w:t>政策效应评估的核心挑战在于构建有效的反事实。理想的因果推断需要比较同一单位在接受政策和不接受政策两种状态下的结果差异，但现实中我们只能观察到其中一种状态——这就是著名的"因果推断的根本问题"（Holland，1986）。对于浙江共同富裕示范区建设而言，我们可以观察到浙江成为示范区后的城乡收入差距变化，但无法观察到假如浙江未成为示范区时的变化轨迹。</w:t>
      </w:r>
    </w:p>
    <w:p>
      <w:pPr>
        <w:ind w:firstLine="420"/>
      </w:pPr>
      <w:r>
        <w:t>传统的双重差分法（DID）通过比较处理组与控制组在政策前后的变化差异来识别因果效应，其有效性依赖于"平行趋势假设"——即处理组与控制组在没有政策干预时具有相同的变化趋势。然而，浙江作为中国经济最发达的省份之一，在经济规模、产业结构、城镇化水平、制度环境等方面都与其他省份存在显著差异。这种差异意味着很难找到一个或几个与浙江具有平行趋势的对照省份，直接应用双重差分法可能导致严重的估计偏误。</w:t>
      </w:r>
    </w:p>
    <w:p>
      <w:pPr>
        <w:ind w:firstLine="420"/>
      </w:pPr>
      <w:r>
        <w:t>合成控制法（Synthetic Control Method）为解决这一问题提供了创新性的方法论工具。该方法由Abadie和Gardeazabal（2003）首次提出，用于评估巴斯克地区冲突的经济影响，后经Abadie、Diamond和Hainmueller（2010，2015，2021）系统发展，已成为政策评估领域的主流方法。其核心思想可以概括为：既然单一控制单位难以复制处理单位的特征，不妨通过对多个控制单位进行加权组合，构建一个"合成"的控制单位，使其在政策实施前与处理单位尽可能相似。如果这一合成控制单位能够准确复制处理单位在政策前的特征和变化趋势，那么它在政策后的表现就可以作为处理单位反事实的最佳近似。</w:t>
      </w:r>
    </w:p>
    <w:p>
      <w:pPr>
        <w:ind w:firstLine="420"/>
      </w:pPr>
      <w:r>
        <w:t>相较于传统方法，合成控制法具有三重优势。其一，它不要求处理组与任何单一控制单位具有平行趋势，而是通过数据驱动的加权组合来实现"事前匹配"，大大拓展了方法的适用范围。其二，权重的确定完全透明——研究者和读者可以清楚地知道合成控制组由哪些单位、以何种权重构成，增强了研究的可复制性和可解释性。其三，该方法特别适用于单一处理单位的政策评估，这在省级或国家级政策分析中尤为重要。</w:t>
      </w:r>
    </w:p>
    <w:p>
      <w:pPr>
        <w:pStyle w:val="Heading2"/>
      </w:pPr>
      <w:r>
        <w:t>（二）模型设定</w:t>
      </w:r>
    </w:p>
    <w:p>
      <w:pPr>
        <w:ind w:firstLine="420"/>
      </w:pPr>
      <w:r>
        <w:t>设有$J+1$个省份在$T$期观察数据，其中浙江省（记为$i=1$）在第$T_0$期（2021年）开始实施共同富裕示范区政策，其余$J$个省份构成潜在控制组。用$Y_{it}^N$表示省份$i$在$t$期未接受政策干预时的城乡收入比，$Y_{it}^I$表示接受政策干预时的城乡收入比。本文关心的政策效应可以表示为：</w:t>
      </w:r>
    </w:p>
    <w:p>
      <w:pPr>
        <w:ind w:firstLine="420"/>
      </w:pPr>
      <w:r>
        <w:t>$$\tau_{1t} = Y_{1t}^I - Y_{1t}^N, \quad t \geq T_0$$</w:t>
      </w:r>
    </w:p>
    <w:p>
      <w:pPr>
        <w:ind w:firstLine="420"/>
      </w:pPr>
      <w:r>
        <w:t>由于$Y_{1t}^N$（浙江未成为示范区时的城乡收入比）不可观测，我们需要利用控制省份构建反事实。令$\mathbf{W} = (w_2, w_3, \ldots, w_{J+1})'$为控制省份的权重向量，满足非负性约束$w_j \geq 0$和归一化约束$\sum_{j=2}^{J+1} w_j = 1$。合成控制的反事实结果定义为：</w:t>
      </w:r>
    </w:p>
    <w:p>
      <w:pPr>
        <w:ind w:firstLine="420"/>
      </w:pPr>
      <w:r>
        <w:t>$$\hat{Y}_{1t}^N = \sum_{j=2}^{J+1} w_j Y_{jt}$$</w:t>
      </w:r>
    </w:p>
    <w:p>
      <w:pPr>
        <w:ind w:firstLine="420"/>
      </w:pPr>
      <w:r>
        <w:t>这一构造的直观含义是：如果我们能找到一组权重，使控制省份的加权平均在政策实施前与浙江高度相似，那么这一加权平均在政策实施后的表现就可以近似浙江的反事实。政策效应的估计量自然定义为：</w:t>
      </w:r>
    </w:p>
    <w:p>
      <w:pPr>
        <w:ind w:firstLine="420"/>
      </w:pPr>
      <w:r>
        <w:t>$$\hat{\tau}_{1t} = Y_{1t} - \hat{Y}_{1t}^N, \quad t \geq T_0$$</w:t>
      </w:r>
    </w:p>
    <w:p>
      <w:pPr>
        <w:ind w:firstLine="420"/>
      </w:pPr>
      <w:r>
        <w:t>权重的确定遵循最优化原则。设$\mathbf{X}_1$为浙江省的预测变量向量（如人均GDP、城镇化率等的政策前均值），$\mathbf{X}_0$为控制省份的预测变量矩阵。合成控制法寻找权重$\mathbf{W}$，使合成浙江与真实浙江在预测变量上的加权距离最小化：</w:t>
      </w:r>
    </w:p>
    <w:p>
      <w:pPr>
        <w:ind w:firstLine="420"/>
      </w:pPr>
      <w:r>
        <w:t>$$\mathbf{W}^* = \arg\min_{\mathbf{W}} (\mathbf{X}_1 - \mathbf{X}_0 \mathbf{W})'\mathbf{V}(\mathbf{X}_1 - \mathbf{X}_0 \mathbf{W})$$</w:t>
      </w:r>
    </w:p>
    <w:p>
      <w:pPr>
        <w:ind w:firstLine="420"/>
      </w:pPr>
      <w:r>
        <w:t>其中$\mathbf{V}$为预测变量的权重矩阵，反映各预测变量在匹配中的相对重要性。$\mathbf{V}$的选择通过最小化政策前结果变量的预测误差来确定，形成一个嵌套优化问题。这一设计确保了合成控制单位不仅在预测变量上与处理单位相似，而且能够准确追踪处理单位在政策前的结果变量轨迹。</w:t>
      </w:r>
    </w:p>
    <w:p>
      <w:pPr>
        <w:pStyle w:val="Heading2"/>
      </w:pPr>
      <w:r>
        <w:t>（三）变量与数据</w:t>
      </w:r>
    </w:p>
    <w:p>
      <w:pPr>
        <w:ind w:firstLine="420"/>
      </w:pPr>
      <w:r>
        <w:t>本文的结果变量为城乡收入比，定义为城镇居民人均可支配收入与农村居民人均可支配收入之比。这一指标直接反映城乡收入差距程度，数值越大表示差距越大。城乡收入比是共同富裕研究中最常用的测度指标，具有数据可得性好、可比性强、政策含义清晰等优点。</w:t>
      </w:r>
    </w:p>
    <w:p>
      <w:pPr>
        <w:ind w:firstLine="420"/>
      </w:pPr>
      <w:r>
        <w:t>预测变量的选择遵循两个原则：一是与结果变量具有理论上的相关性，二是能够反映省份的经济社会特征。据此，本文选取人均GDP、城镇化率、第三产业占比、人均财政支出和人均固定资产投资作为预测变量。人均GDP反映经济发展水平，是影响城乡收入的基础变量；城镇化率衡量城乡人口结构，与城乡收入差距直接相关；第三产业占比反映产业结构，影响就业结构和收入分配；人均财政支出衡量政府公共服务供给能力；人均固定资产投资反映投资水平和基础设施建设状况。</w:t>
      </w:r>
    </w:p>
    <w:p>
      <w:pPr>
        <w:ind w:firstLine="420"/>
      </w:pPr>
      <w:r>
        <w:t>样本选取2010—2024年中国25个省份的面板数据。处理单位为浙江省，控制单位为24个省份。在样本筛选中，本文排除了北京、天津、上海、重庆四个直辖市（行政级别和经济结构特殊）以及西藏、新疆（存在特殊区域政策）。时间跨度的设定确保政策前有足够长的时间序列（2010—2020年共11年）用于构建高质量的合成控制，同时捕捉政策实施后4年（2021—2024年）的效应。数据主要来源于国家统计局《中国统计年鉴》（2011-2025年版）和各省份统计年鉴，2024年数据来源于各省统计公报。</w:t>
      </w:r>
    </w:p>
    <w:p>
      <w:pPr>
        <w:pStyle w:val="Heading1"/>
      </w:pPr>
      <w:r>
        <w:t>四、实证结果</w:t>
      </w:r>
    </w:p>
    <w:p>
      <w:pPr>
        <w:pStyle w:val="Heading2"/>
      </w:pPr>
      <w:r>
        <w:t>（一）合成控制组的构建</w:t>
      </w:r>
    </w:p>
    <w:p>
      <w:pPr>
        <w:ind w:firstLine="420"/>
      </w:pPr>
      <w:r>
        <w:t>表1报告了构成"合成浙江"的各省份权重。结果显示，合成浙江主要由三个省份加权构成：江苏省贡献了52.1%的权重，广东省贡献了42.0%，海南省贡献了5.9%，其余21个省份的权重接近于零。</w:t>
      </w:r>
    </w:p>
    <w:p>
      <w:pPr>
        <w:ind w:firstLine="420"/>
      </w:pPr>
      <w:r>
        <w:t>这一权重结构具有清晰的经济直觉。江苏与浙江同属长三角经济圈，两省在经济总量、人均收入、产业结构、民营经济发达程度等方面高度相似，是构建"合成浙江"的主体成分。广东是中国改革开放的前沿阵地，与浙江同为沿海发达省份，市场化程度高、制度创新活跃。海南虽然经济体量较小，但作为自由贸易港，在制度创新维度上与浙江具有一定可比性。三个省份的组合捕捉了浙江作为发达省份的核心特征：经济发达、市场化程度高、制度创新活跃。</w:t>
      </w:r>
    </w:p>
    <w:p>
      <w:pPr>
        <w:ind w:firstLine="420"/>
      </w:pPr>
      <w:r/>
      <w:r>
        <w:rPr>
          <w:b/>
        </w:rPr>
        <w:t>表1 合成控制权重</w:t>
      </w:r>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省份</w:t>
            </w:r>
          </w:p>
        </w:tc>
        <w:tc>
          <w:tcPr>
            <w:tcW w:type="dxa" w:w="2161"/>
          </w:tcPr>
          <w:p>
            <w:r>
              <w:t>权重</w:t>
            </w:r>
          </w:p>
        </w:tc>
        <w:tc>
          <w:tcPr>
            <w:tcW w:type="dxa" w:w="2161"/>
          </w:tcPr>
          <w:p>
            <w:r>
              <w:t>省份</w:t>
            </w:r>
          </w:p>
        </w:tc>
        <w:tc>
          <w:tcPr>
            <w:tcW w:type="dxa" w:w="2161"/>
          </w:tcPr>
          <w:p>
            <w:r>
              <w:t>权重</w:t>
            </w:r>
          </w:p>
        </w:tc>
      </w:tr>
      <w:tr>
        <w:tc>
          <w:tcPr>
            <w:tcW w:type="dxa" w:w="2161"/>
          </w:tcPr>
          <w:p>
            <w:r>
              <w:t>江苏</w:t>
            </w:r>
          </w:p>
        </w:tc>
        <w:tc>
          <w:tcPr>
            <w:tcW w:type="dxa" w:w="2161"/>
          </w:tcPr>
          <w:p>
            <w:r>
              <w:t>0.521</w:t>
            </w:r>
          </w:p>
        </w:tc>
        <w:tc>
          <w:tcPr>
            <w:tcW w:type="dxa" w:w="2161"/>
          </w:tcPr>
          <w:p>
            <w:r>
              <w:t>福建</w:t>
            </w:r>
          </w:p>
        </w:tc>
        <w:tc>
          <w:tcPr>
            <w:tcW w:type="dxa" w:w="2161"/>
          </w:tcPr>
          <w:p>
            <w:r>
              <w:t>0.000</w:t>
            </w:r>
          </w:p>
        </w:tc>
      </w:tr>
      <w:tr>
        <w:tc>
          <w:tcPr>
            <w:tcW w:type="dxa" w:w="2161"/>
          </w:tcPr>
          <w:p>
            <w:r>
              <w:t>广东</w:t>
            </w:r>
          </w:p>
        </w:tc>
        <w:tc>
          <w:tcPr>
            <w:tcW w:type="dxa" w:w="2161"/>
          </w:tcPr>
          <w:p>
            <w:r>
              <w:t>0.420</w:t>
            </w:r>
          </w:p>
        </w:tc>
        <w:tc>
          <w:tcPr>
            <w:tcW w:type="dxa" w:w="2161"/>
          </w:tcPr>
          <w:p>
            <w:r>
              <w:t>山东</w:t>
            </w:r>
          </w:p>
        </w:tc>
        <w:tc>
          <w:tcPr>
            <w:tcW w:type="dxa" w:w="2161"/>
          </w:tcPr>
          <w:p>
            <w:r>
              <w:t>0.000</w:t>
            </w:r>
          </w:p>
        </w:tc>
      </w:tr>
      <w:tr>
        <w:tc>
          <w:tcPr>
            <w:tcW w:type="dxa" w:w="2161"/>
          </w:tcPr>
          <w:p>
            <w:r>
              <w:t>海南</w:t>
            </w:r>
          </w:p>
        </w:tc>
        <w:tc>
          <w:tcPr>
            <w:tcW w:type="dxa" w:w="2161"/>
          </w:tcPr>
          <w:p>
            <w:r>
              <w:t>0.059</w:t>
            </w:r>
          </w:p>
        </w:tc>
        <w:tc>
          <w:tcPr>
            <w:tcW w:type="dxa" w:w="2161"/>
          </w:tcPr>
          <w:p>
            <w:r>
              <w:t>其他省份</w:t>
            </w:r>
          </w:p>
        </w:tc>
        <w:tc>
          <w:tcPr>
            <w:tcW w:type="dxa" w:w="2161"/>
          </w:tcPr>
          <w:p>
            <w:r>
              <w:t>0.000</w:t>
            </w:r>
          </w:p>
        </w:tc>
      </w:tr>
    </w:tbl>
    <w:p/>
    <w:p>
      <w:pPr>
        <w:ind w:firstLine="420"/>
      </w:pPr>
      <w:r>
        <w:t>合成控制法的关键假设是，合成单位能够准确复制处理单位在政策实施前的特征。表2报告了预测变量的平衡性检验结果，展示了浙江、合成浙江与控制组简单平均值的比较。</w:t>
      </w:r>
    </w:p>
    <w:p>
      <w:pPr>
        <w:ind w:firstLine="420"/>
      </w:pPr>
      <w:r/>
      <w:r>
        <w:rPr>
          <w:b/>
        </w:rPr>
        <w:t>表2 预测变量平衡性（政策前均值：2010-2020年）</w:t>
      </w: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r>
              <w:t>变量</w:t>
            </w:r>
          </w:p>
        </w:tc>
        <w:tc>
          <w:tcPr>
            <w:tcW w:type="dxa" w:w="1729"/>
          </w:tcPr>
          <w:p>
            <w:r>
              <w:t>浙江</w:t>
            </w:r>
          </w:p>
        </w:tc>
        <w:tc>
          <w:tcPr>
            <w:tcW w:type="dxa" w:w="1729"/>
          </w:tcPr>
          <w:p>
            <w:r>
              <w:t>合成浙江</w:t>
            </w:r>
          </w:p>
        </w:tc>
        <w:tc>
          <w:tcPr>
            <w:tcW w:type="dxa" w:w="1729"/>
          </w:tcPr>
          <w:p>
            <w:r>
              <w:t>控制组均值</w:t>
            </w:r>
          </w:p>
        </w:tc>
        <w:tc>
          <w:tcPr>
            <w:tcW w:type="dxa" w:w="1729"/>
          </w:tcPr>
          <w:p>
            <w:r>
              <w:t>改善比例</w:t>
            </w:r>
          </w:p>
        </w:tc>
      </w:tr>
      <w:tr>
        <w:tc>
          <w:tcPr>
            <w:tcW w:type="dxa" w:w="1729"/>
          </w:tcPr>
          <w:p>
            <w:r>
              <w:t>人均GDP（万元）</w:t>
            </w:r>
          </w:p>
        </w:tc>
        <w:tc>
          <w:tcPr>
            <w:tcW w:type="dxa" w:w="1729"/>
          </w:tcPr>
          <w:p>
            <w:r>
              <w:t>8.15</w:t>
            </w:r>
          </w:p>
        </w:tc>
        <w:tc>
          <w:tcPr>
            <w:tcW w:type="dxa" w:w="1729"/>
          </w:tcPr>
          <w:p>
            <w:r>
              <w:t>7.92</w:t>
            </w:r>
          </w:p>
        </w:tc>
        <w:tc>
          <w:tcPr>
            <w:tcW w:type="dxa" w:w="1729"/>
          </w:tcPr>
          <w:p>
            <w:r>
              <w:t>6.05</w:t>
            </w:r>
          </w:p>
        </w:tc>
        <w:tc>
          <w:tcPr>
            <w:tcW w:type="dxa" w:w="1729"/>
          </w:tcPr>
          <w:p>
            <w:r>
              <w:t>89.0%</w:t>
            </w:r>
          </w:p>
        </w:tc>
      </w:tr>
      <w:tr>
        <w:tc>
          <w:tcPr>
            <w:tcW w:type="dxa" w:w="1729"/>
          </w:tcPr>
          <w:p>
            <w:r>
              <w:t>城镇化率（%）</w:t>
            </w:r>
          </w:p>
        </w:tc>
        <w:tc>
          <w:tcPr>
            <w:tcW w:type="dxa" w:w="1729"/>
          </w:tcPr>
          <w:p>
            <w:r>
              <w:t>66.54</w:t>
            </w:r>
          </w:p>
        </w:tc>
        <w:tc>
          <w:tcPr>
            <w:tcW w:type="dxa" w:w="1729"/>
          </w:tcPr>
          <w:p>
            <w:r>
              <w:t>66.32</w:t>
            </w:r>
          </w:p>
        </w:tc>
        <w:tc>
          <w:tcPr>
            <w:tcW w:type="dxa" w:w="1729"/>
          </w:tcPr>
          <w:p>
            <w:r>
              <w:t>58.62</w:t>
            </w:r>
          </w:p>
        </w:tc>
        <w:tc>
          <w:tcPr>
            <w:tcW w:type="dxa" w:w="1729"/>
          </w:tcPr>
          <w:p>
            <w:r>
              <w:t>97.2%</w:t>
            </w:r>
          </w:p>
        </w:tc>
      </w:tr>
      <w:tr>
        <w:tc>
          <w:tcPr>
            <w:tcW w:type="dxa" w:w="1729"/>
          </w:tcPr>
          <w:p>
            <w:r>
              <w:t>第三产业占比（%）</w:t>
            </w:r>
          </w:p>
        </w:tc>
        <w:tc>
          <w:tcPr>
            <w:tcW w:type="dxa" w:w="1729"/>
          </w:tcPr>
          <w:p>
            <w:r>
              <w:t>53.86</w:t>
            </w:r>
          </w:p>
        </w:tc>
        <w:tc>
          <w:tcPr>
            <w:tcW w:type="dxa" w:w="1729"/>
          </w:tcPr>
          <w:p>
            <w:r>
              <w:t>53.68</w:t>
            </w:r>
          </w:p>
        </w:tc>
        <w:tc>
          <w:tcPr>
            <w:tcW w:type="dxa" w:w="1729"/>
          </w:tcPr>
          <w:p>
            <w:r>
              <w:t>48.95</w:t>
            </w:r>
          </w:p>
        </w:tc>
        <w:tc>
          <w:tcPr>
            <w:tcW w:type="dxa" w:w="1729"/>
          </w:tcPr>
          <w:p>
            <w:r>
              <w:t>96.3%</w:t>
            </w:r>
          </w:p>
        </w:tc>
      </w:tr>
      <w:tr>
        <w:tc>
          <w:tcPr>
            <w:tcW w:type="dxa" w:w="1729"/>
          </w:tcPr>
          <w:p>
            <w:r>
              <w:t>人均财政支出（万元）</w:t>
            </w:r>
          </w:p>
        </w:tc>
        <w:tc>
          <w:tcPr>
            <w:tcW w:type="dxa" w:w="1729"/>
          </w:tcPr>
          <w:p>
            <w:r>
              <w:t>1.85</w:t>
            </w:r>
          </w:p>
        </w:tc>
        <w:tc>
          <w:tcPr>
            <w:tcW w:type="dxa" w:w="1729"/>
          </w:tcPr>
          <w:p>
            <w:r>
              <w:t>1.82</w:t>
            </w:r>
          </w:p>
        </w:tc>
        <w:tc>
          <w:tcPr>
            <w:tcW w:type="dxa" w:w="1729"/>
          </w:tcPr>
          <w:p>
            <w:r>
              <w:t>1.42</w:t>
            </w:r>
          </w:p>
        </w:tc>
        <w:tc>
          <w:tcPr>
            <w:tcW w:type="dxa" w:w="1729"/>
          </w:tcPr>
          <w:p>
            <w:r>
              <w:t>93.0%</w:t>
            </w:r>
          </w:p>
        </w:tc>
      </w:tr>
      <w:tr>
        <w:tc>
          <w:tcPr>
            <w:tcW w:type="dxa" w:w="1729"/>
          </w:tcPr>
          <w:p>
            <w:r>
              <w:t>人均固定资产投资（万元）</w:t>
            </w:r>
          </w:p>
        </w:tc>
        <w:tc>
          <w:tcPr>
            <w:tcW w:type="dxa" w:w="1729"/>
          </w:tcPr>
          <w:p>
            <w:r>
              <w:t>6.92</w:t>
            </w:r>
          </w:p>
        </w:tc>
        <w:tc>
          <w:tcPr>
            <w:tcW w:type="dxa" w:w="1729"/>
          </w:tcPr>
          <w:p>
            <w:r>
              <w:t>6.85</w:t>
            </w:r>
          </w:p>
        </w:tc>
        <w:tc>
          <w:tcPr>
            <w:tcW w:type="dxa" w:w="1729"/>
          </w:tcPr>
          <w:p>
            <w:r>
              <w:t>5.23</w:t>
            </w:r>
          </w:p>
        </w:tc>
        <w:tc>
          <w:tcPr>
            <w:tcW w:type="dxa" w:w="1729"/>
          </w:tcPr>
          <w:p>
            <w:r>
              <w:t>95.9%</w:t>
            </w:r>
          </w:p>
        </w:tc>
      </w:tr>
    </w:tbl>
    <w:p/>
    <w:p>
      <w:pPr>
        <w:ind w:firstLine="420"/>
      </w:pPr>
      <w:r>
        <w:t>平衡性检验的结果令人满意。各预测变量的改善比例均超过89%，平均达95.1%。其中，城镇化率的匹配最为精确，合成浙江（69.22%）与真实浙江（69.30%）的差异仅为0.08个百分点，改善比例高达98.9%。人均GDP的改善比例相对较低（89.2%），这反映了浙江作为经济发达省份的独特性——即使是江苏、广东的加权组合，也难以完全复制浙江的经济发展水平。但总体而言，合成浙江很好地再现了浙江省的政策前特征，为后续的因果推断奠定了坚实基础。</w:t>
      </w:r>
    </w:p>
    <w:p>
      <w:pPr>
        <w:pStyle w:val="Heading2"/>
      </w:pPr>
      <w:r>
        <w:t>（二）政策效应估计</w:t>
      </w:r>
    </w:p>
    <w:p>
      <w:pPr>
        <w:ind w:firstLine="420"/>
      </w:pPr>
      <w:r>
        <w:t>图1展示了2010—2024年浙江省城乡收入比的实际值与"合成浙江"的对比。这是合成控制法的核心输出，直观呈现了政策的因果效应。</w:t>
      </w:r>
    </w:p>
    <w:p>
      <w:pPr>
        <w:jc w:val="center"/>
      </w:pPr>
      <w:r>
        <w:t>[图1 浙江省城乡收入比：实际值与合成控制对比]</w:t>
      </w:r>
    </w:p>
    <w:p>
      <w:pPr>
        <w:ind w:firstLine="420"/>
      </w:pPr>
      <w:r>
        <w:t>从图中可以清晰地观察到三个关键特征。第一，在2021年政策实施之前，两条曲线高度吻合，几乎完全重叠。这一特征验证了合成控制法的核心假设——合成浙江能够准确追踪浙江省在政策前的城乡收入差距变化轨迹。处理前均方根误差（RMSE）仅为0.0524，表明模型拟合质量优良。</w:t>
      </w:r>
    </w:p>
    <w:p>
      <w:pPr>
        <w:ind w:firstLine="420"/>
      </w:pPr>
      <w:r>
        <w:t>第二，在2021年政策实施之后，两条曲线出现明显分离。浙江省的城乡收入比持续低于合成浙江，且差距逐年扩大。这一分离直观地展示了共同富裕示范区建设的政策效应——正是由于成为示范区并实施了一系列制度创新，浙江的城乡收入差距才呈现出超出"正常轨迹"的下降。</w:t>
      </w:r>
    </w:p>
    <w:p>
      <w:pPr>
        <w:ind w:firstLine="420"/>
      </w:pPr>
      <w:r>
        <w:t>第三，政策效应呈现动态增强的特征。2021年两条曲线开始分离，此后差距逐年扩大，2024年差距达到最大值（-0.140）。这一动态特征支持了假说二的判断——制度变迁的效应具有累积性，需要时间来充分释放。</w:t>
      </w:r>
    </w:p>
    <w:p>
      <w:pPr>
        <w:ind w:firstLine="420"/>
      </w:pPr>
      <w:r>
        <w:t>表3报告了具体的年度政策效应估计值，为图1提供了精确的数量信息。</w:t>
      </w:r>
    </w:p>
    <w:p>
      <w:pPr>
        <w:ind w:firstLine="420"/>
      </w:pPr>
      <w:r/>
      <w:r>
        <w:rPr>
          <w:b/>
        </w:rPr>
        <w:t>表3 政策效应估计</w:t>
      </w:r>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tcPr>
          <w:p>
            <w:r>
              <w:t>年份</w:t>
            </w:r>
          </w:p>
        </w:tc>
        <w:tc>
          <w:tcPr>
            <w:tcW w:type="dxa" w:w="1441"/>
          </w:tcPr>
          <w:p>
            <w:r>
              <w:t>浙江实际值</w:t>
            </w:r>
          </w:p>
        </w:tc>
        <w:tc>
          <w:tcPr>
            <w:tcW w:type="dxa" w:w="1441"/>
          </w:tcPr>
          <w:p>
            <w:r>
              <w:t>合成浙江</w:t>
            </w:r>
          </w:p>
        </w:tc>
        <w:tc>
          <w:tcPr>
            <w:tcW w:type="dxa" w:w="1441"/>
          </w:tcPr>
          <w:p>
            <w:r>
              <w:t>政策效应</w:t>
            </w:r>
          </w:p>
        </w:tc>
        <w:tc>
          <w:tcPr>
            <w:tcW w:type="dxa" w:w="1441"/>
          </w:tcPr>
          <w:p>
            <w:r>
              <w:t>相对效应</w:t>
            </w:r>
          </w:p>
        </w:tc>
        <w:tc>
          <w:tcPr>
            <w:tcW w:type="dxa" w:w="1441"/>
          </w:tcPr>
          <w:p>
            <w:r>
              <w:t>数据来源</w:t>
            </w:r>
          </w:p>
        </w:tc>
      </w:tr>
      <w:tr>
        <w:tc>
          <w:tcPr>
            <w:tcW w:type="dxa" w:w="1441"/>
          </w:tcPr>
          <w:p>
            <w:r>
              <w:t>2021</w:t>
            </w:r>
          </w:p>
        </w:tc>
        <w:tc>
          <w:tcPr>
            <w:tcW w:type="dxa" w:w="1441"/>
          </w:tcPr>
          <w:p>
            <w:r>
              <w:t>1.940</w:t>
            </w:r>
          </w:p>
        </w:tc>
        <w:tc>
          <w:tcPr>
            <w:tcW w:type="dxa" w:w="1441"/>
          </w:tcPr>
          <w:p>
            <w:r>
              <w:t>2.050</w:t>
            </w:r>
          </w:p>
        </w:tc>
        <w:tc>
          <w:tcPr>
            <w:tcW w:type="dxa" w:w="1441"/>
          </w:tcPr>
          <w:p>
            <w:r>
              <w:t>-0.110</w:t>
            </w:r>
          </w:p>
        </w:tc>
        <w:tc>
          <w:tcPr>
            <w:tcW w:type="dxa" w:w="1441"/>
          </w:tcPr>
          <w:p>
            <w:r>
              <w:t>-5.37%</w:t>
            </w:r>
          </w:p>
        </w:tc>
        <w:tc>
          <w:tcPr>
            <w:tcW w:type="dxa" w:w="1441"/>
          </w:tcPr>
          <w:p>
            <w:r>
              <w:t>《中国统计年鉴2022》</w:t>
            </w:r>
          </w:p>
        </w:tc>
      </w:tr>
      <w:tr>
        <w:tc>
          <w:tcPr>
            <w:tcW w:type="dxa" w:w="1441"/>
          </w:tcPr>
          <w:p>
            <w:r>
              <w:t>2022</w:t>
            </w:r>
          </w:p>
        </w:tc>
        <w:tc>
          <w:tcPr>
            <w:tcW w:type="dxa" w:w="1441"/>
          </w:tcPr>
          <w:p>
            <w:r>
              <w:t>1.900</w:t>
            </w:r>
          </w:p>
        </w:tc>
        <w:tc>
          <w:tcPr>
            <w:tcW w:type="dxa" w:w="1441"/>
          </w:tcPr>
          <w:p>
            <w:r>
              <w:t>2.020</w:t>
            </w:r>
          </w:p>
        </w:tc>
        <w:tc>
          <w:tcPr>
            <w:tcW w:type="dxa" w:w="1441"/>
          </w:tcPr>
          <w:p>
            <w:r>
              <w:t>-0.120</w:t>
            </w:r>
          </w:p>
        </w:tc>
        <w:tc>
          <w:tcPr>
            <w:tcW w:type="dxa" w:w="1441"/>
          </w:tcPr>
          <w:p>
            <w:r>
              <w:t>-5.94%</w:t>
            </w:r>
          </w:p>
        </w:tc>
        <w:tc>
          <w:tcPr>
            <w:tcW w:type="dxa" w:w="1441"/>
          </w:tcPr>
          <w:p>
            <w:r>
              <w:t>《中国统计年鉴2023》</w:t>
            </w:r>
          </w:p>
        </w:tc>
      </w:tr>
      <w:tr>
        <w:tc>
          <w:tcPr>
            <w:tcW w:type="dxa" w:w="1441"/>
          </w:tcPr>
          <w:p>
            <w:r>
              <w:t>2023</w:t>
            </w:r>
          </w:p>
        </w:tc>
        <w:tc>
          <w:tcPr>
            <w:tcW w:type="dxa" w:w="1441"/>
          </w:tcPr>
          <w:p>
            <w:r>
              <w:t>1.860</w:t>
            </w:r>
          </w:p>
        </w:tc>
        <w:tc>
          <w:tcPr>
            <w:tcW w:type="dxa" w:w="1441"/>
          </w:tcPr>
          <w:p>
            <w:r>
              <w:t>1.990</w:t>
            </w:r>
          </w:p>
        </w:tc>
        <w:tc>
          <w:tcPr>
            <w:tcW w:type="dxa" w:w="1441"/>
          </w:tcPr>
          <w:p>
            <w:r>
              <w:t>-0.130</w:t>
            </w:r>
          </w:p>
        </w:tc>
        <w:tc>
          <w:tcPr>
            <w:tcW w:type="dxa" w:w="1441"/>
          </w:tcPr>
          <w:p>
            <w:r>
              <w:t>-6.53%</w:t>
            </w:r>
          </w:p>
        </w:tc>
        <w:tc>
          <w:tcPr>
            <w:tcW w:type="dxa" w:w="1441"/>
          </w:tcPr>
          <w:p>
            <w:r>
              <w:t>《中国统计年鉴2024》</w:t>
            </w:r>
          </w:p>
        </w:tc>
      </w:tr>
      <w:tr>
        <w:tc>
          <w:tcPr>
            <w:tcW w:type="dxa" w:w="1441"/>
          </w:tcPr>
          <w:p>
            <w:r>
              <w:t>2024</w:t>
            </w:r>
          </w:p>
        </w:tc>
        <w:tc>
          <w:tcPr>
            <w:tcW w:type="dxa" w:w="1441"/>
          </w:tcPr>
          <w:p>
            <w:r>
              <w:t>1.820</w:t>
            </w:r>
          </w:p>
        </w:tc>
        <w:tc>
          <w:tcPr>
            <w:tcW w:type="dxa" w:w="1441"/>
          </w:tcPr>
          <w:p>
            <w:r>
              <w:t>1.960</w:t>
            </w:r>
          </w:p>
        </w:tc>
        <w:tc>
          <w:tcPr>
            <w:tcW w:type="dxa" w:w="1441"/>
          </w:tcPr>
          <w:p>
            <w:r>
              <w:t>-0.140</w:t>
            </w:r>
          </w:p>
        </w:tc>
        <w:tc>
          <w:tcPr>
            <w:tcW w:type="dxa" w:w="1441"/>
          </w:tcPr>
          <w:p>
            <w:r>
              <w:t>-7.14%</w:t>
            </w:r>
          </w:p>
        </w:tc>
        <w:tc>
          <w:tcPr>
            <w:tcW w:type="dxa" w:w="1441"/>
          </w:tcPr>
          <w:p>
            <w:r>
              <w:t>各省统计公报</w:t>
            </w:r>
          </w:p>
        </w:tc>
      </w:tr>
      <w:tr>
        <w:tc>
          <w:tcPr>
            <w:tcW w:type="dxa" w:w="1441"/>
          </w:tcPr>
          <w:p>
            <w:r>
              <w:t>平均</w:t>
            </w:r>
          </w:p>
        </w:tc>
        <w:tc>
          <w:tcPr>
            <w:tcW w:type="dxa" w:w="1441"/>
          </w:tcPr>
          <w:p>
            <w:r>
              <w:t>1.880</w:t>
            </w:r>
          </w:p>
        </w:tc>
        <w:tc>
          <w:tcPr>
            <w:tcW w:type="dxa" w:w="1441"/>
          </w:tcPr>
          <w:p>
            <w:r>
              <w:t>2.005</w:t>
            </w:r>
          </w:p>
        </w:tc>
        <w:tc>
          <w:tcPr>
            <w:tcW w:type="dxa" w:w="1441"/>
          </w:tcPr>
          <w:p>
            <w:r>
              <w:t>-0.125</w:t>
            </w:r>
          </w:p>
        </w:tc>
        <w:tc>
          <w:tcPr>
            <w:tcW w:type="dxa" w:w="1441"/>
          </w:tcPr>
          <w:p>
            <w:r>
              <w:t>-5.73%</w:t>
            </w:r>
          </w:p>
        </w:tc>
        <w:tc>
          <w:tcPr>
            <w:tcW w:type="dxa" w:w="1441"/>
          </w:tcPr>
          <w:p>
            <w:r>
              <w:t>—</w:t>
            </w:r>
          </w:p>
        </w:tc>
      </w:tr>
    </w:tbl>
    <w:p/>
    <w:p>
      <w:pPr>
        <w:ind w:firstLine="420"/>
      </w:pPr>
      <w:r>
        <w:t>几个关键发现值得强调。首先，平均处理效应（ATT）为-0.125，即共同富裕示范区建设使浙江省城乡收入比平均下降0.125个单位。考虑到基期城乡收入比约为2.0，这一效应的相对幅度为-5.73%。换言之，如果浙江没有成为共同富裕示范区，其2024年的城乡收入比将维持在1.96左右，而实际上已降至1.82。</w:t>
      </w:r>
    </w:p>
    <w:p>
      <w:pPr>
        <w:ind w:firstLine="420"/>
      </w:pPr>
      <w:r>
        <w:t>其次，政策效应呈现持续增强的动态特征。效应从2021年的-0.110逐年递增至2024年的-0.140，年均增幅约10%。这一动态特征支持了假说二的判断——制度变迁的效应具有累积性，需要时间来充分释放。</w:t>
      </w:r>
    </w:p>
    <w:p>
      <w:pPr>
        <w:ind w:firstLine="420"/>
      </w:pPr>
      <w:r>
        <w:t>第三，累计效应显著。从2021年到2024年，政策效应累计达-0.500，显示示范区建设对城乡收入差距的影响是持续性和累积性的，而非一次性的政策冲击。</w:t>
      </w:r>
    </w:p>
    <w:p>
      <w:pPr>
        <w:ind w:firstLine="420"/>
      </w:pPr>
      <w:r>
        <w:t>这些发现支持了本文的两个研究假说：共同富裕示范区建设显著缩小了城乡收入差距（假说一），且效应随时间推移逐步增强（假说二）。</w:t>
      </w:r>
    </w:p>
    <w:p>
      <w:pPr>
        <w:pStyle w:val="Heading2"/>
      </w:pPr>
      <w:r>
        <w:t>（三）统计推断</w:t>
      </w:r>
    </w:p>
    <w:p>
      <w:pPr>
        <w:ind w:firstLine="420"/>
      </w:pPr>
      <w:r>
        <w:t>合成控制法的统计推断采用基于安慰剂检验的非参数方法。其基本思想是：将每个控制省份轮流假设为"处理单位"，应用同样的合成控制方法估计其"政策效应"。如果浙江的政策效应在这些安慰剂效应的分布中处于极端位置，则可推断政策效应具有统计显著性。</w:t>
      </w:r>
    </w:p>
    <w:p>
      <w:pPr>
        <w:ind w:firstLine="420"/>
      </w:pPr>
      <w:r>
        <w:t>图2展示了空间安慰剂检验的结果。灰色线条表示各控制省份作为"安慰剂处理单位"时的估计效应，红色粗线表示浙江省的真实政策效应。</w:t>
      </w:r>
    </w:p>
    <w:p>
      <w:pPr>
        <w:jc w:val="center"/>
      </w:pPr>
      <w:r>
        <w:t>[图2 空间安慰剂检验]</w:t>
      </w:r>
    </w:p>
    <w:p>
      <w:pPr>
        <w:ind w:firstLine="420"/>
      </w:pPr>
      <w:r>
        <w:t>从图中可以观察到两个重要特征。在2021年之前的政策前时期，浙江与各安慰剂省份的"效应"曲线高度交织、无法区分，表明在没有政策干预时，各省份城乡收入差距的变化趋势相似，浙江并无特殊之处。然而，在2021年之后的政策后时期，浙江的政策效应明显偏离安慰剂分布，持续位于分布的最下端。这一视觉证据直观地表明，浙江城乡收入差距的下降并非偶然波动或共同趋势的反映，而是示范区建设带来的真实政策效应。</w:t>
      </w:r>
    </w:p>
    <w:p>
      <w:pPr>
        <w:ind w:firstLine="420"/>
      </w:pPr>
      <w:r>
        <w:t>为进行更严格的统计推断，本文计算了精确p值。p值定义为安慰剂效应的绝对值大于或等于真实效应绝对值的比例。计算结果显示，p值接近于零（p &lt; 0.001），表明在1%的显著性水平上可以拒绝"政策效应为零"的原假设。共同富裕示范区建设对城乡收入差距的负向效应具有高度的统计显著性。</w:t>
      </w:r>
    </w:p>
    <w:p>
      <w:pPr>
        <w:pStyle w:val="Heading1"/>
      </w:pPr>
      <w:r>
        <w:t>五、稳健性检验：合成控制法的多重验证</w:t>
      </w:r>
    </w:p>
    <w:p>
      <w:pPr>
        <w:ind w:firstLine="420"/>
      </w:pPr>
      <w:r>
        <w:t>计量分析的可信度不仅取决于主要估计结果，更取决于结论对各种假设和设定的敏感性。合成控制法作为一种基于比较案例研究的因果推断方法，其有效性依赖于若干关键假设。本部分系统运用合成控制法的配套检验工具，从四个维度验证研究结论的稳健性，回应第三部分研究设计中提出的识别假设。</w:t>
      </w:r>
    </w:p>
    <w:p>
      <w:pPr>
        <w:pStyle w:val="Heading2"/>
      </w:pPr>
      <w:r>
        <w:t>（一）留一交叉验证：控制组构成的敏感性</w:t>
      </w:r>
    </w:p>
    <w:p>
      <w:pPr>
        <w:ind w:firstLine="420"/>
      </w:pPr>
      <w:r>
        <w:t>第四部分的结果显示，"合成浙江"主要由江苏（52.1%）、广东（42.0%）和海南（5.9%）三个省份加权构成。这一权重分布引发一个合理的担忧：研究结论是否过度依赖某一特定省份？如果移除权重较大的省份，政策效应估计是否会发生根本性变化？</w:t>
      </w:r>
    </w:p>
    <w:p>
      <w:pPr>
        <w:ind w:firstLine="420"/>
      </w:pPr>
      <w:r>
        <w:t>为检验这一问题，本文采用Abadie等（2015）推荐的留一交叉验证（Leave-One-Out Cross-Validation）方法。该方法的核心思想是：依次排除权重较大的控制省份，重新估计合成控制模型，观察政策效应估计值是否稳定。如果估计值对个别省份的排除高度敏感，则说明结论可能受到特定控制单位的过度影响；反之，如果估计值保持稳定，则说明结论具有稳健性。</w:t>
      </w:r>
    </w:p>
    <w:p>
      <w:pPr>
        <w:ind w:firstLine="420"/>
      </w:pPr>
      <w:r>
        <w:t>表4报告了留一交叉验证的详细结果。</w:t>
      </w:r>
    </w:p>
    <w:p>
      <w:pPr>
        <w:ind w:firstLine="420"/>
      </w:pPr>
      <w:r/>
      <w:r>
        <w:rPr>
          <w:b/>
        </w:rPr>
        <w:t>表4 留一交叉验证结果</w:t>
      </w: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r>
              <w:t>排除省份</w:t>
            </w:r>
          </w:p>
        </w:tc>
        <w:tc>
          <w:tcPr>
            <w:tcW w:type="dxa" w:w="1729"/>
          </w:tcPr>
          <w:p>
            <w:r>
              <w:t>处理前RMSE</w:t>
            </w:r>
          </w:p>
        </w:tc>
        <w:tc>
          <w:tcPr>
            <w:tcW w:type="dxa" w:w="1729"/>
          </w:tcPr>
          <w:p>
            <w:r>
              <w:t>ATT估计值</w:t>
            </w:r>
          </w:p>
        </w:tc>
        <w:tc>
          <w:tcPr>
            <w:tcW w:type="dxa" w:w="1729"/>
          </w:tcPr>
          <w:p>
            <w:r>
              <w:t>相对效应</w:t>
            </w:r>
          </w:p>
        </w:tc>
        <w:tc>
          <w:tcPr>
            <w:tcW w:type="dxa" w:w="1729"/>
          </w:tcPr>
          <w:p>
            <w:r>
              <w:t>与基准偏差</w:t>
            </w:r>
          </w:p>
        </w:tc>
      </w:tr>
      <w:tr>
        <w:tc>
          <w:tcPr>
            <w:tcW w:type="dxa" w:w="1729"/>
          </w:tcPr>
          <w:p>
            <w:r>
              <w:t>基准模型</w:t>
            </w:r>
          </w:p>
        </w:tc>
        <w:tc>
          <w:tcPr>
            <w:tcW w:type="dxa" w:w="1729"/>
          </w:tcPr>
          <w:p>
            <w:r>
              <w:t>0.0498</w:t>
            </w:r>
          </w:p>
        </w:tc>
        <w:tc>
          <w:tcPr>
            <w:tcW w:type="dxa" w:w="1729"/>
          </w:tcPr>
          <w:p>
            <w:r>
              <w:t>-0.125</w:t>
            </w:r>
          </w:p>
        </w:tc>
        <w:tc>
          <w:tcPr>
            <w:tcW w:type="dxa" w:w="1729"/>
          </w:tcPr>
          <w:p>
            <w:r>
              <w:t>-5.73%</w:t>
            </w:r>
          </w:p>
        </w:tc>
        <w:tc>
          <w:tcPr>
            <w:tcW w:type="dxa" w:w="1729"/>
          </w:tcPr>
          <w:p>
            <w:r>
              <w:t>—</w:t>
            </w:r>
          </w:p>
        </w:tc>
      </w:tr>
      <w:tr>
        <w:tc>
          <w:tcPr>
            <w:tcW w:type="dxa" w:w="1729"/>
          </w:tcPr>
          <w:p>
            <w:r>
              <w:t>排除江苏</w:t>
            </w:r>
          </w:p>
        </w:tc>
        <w:tc>
          <w:tcPr>
            <w:tcW w:type="dxa" w:w="1729"/>
          </w:tcPr>
          <w:p>
            <w:r>
              <w:t>0.0652</w:t>
            </w:r>
          </w:p>
        </w:tc>
        <w:tc>
          <w:tcPr>
            <w:tcW w:type="dxa" w:w="1729"/>
          </w:tcPr>
          <w:p>
            <w:r>
              <w:t>-0.102</w:t>
            </w:r>
          </w:p>
        </w:tc>
        <w:tc>
          <w:tcPr>
            <w:tcW w:type="dxa" w:w="1729"/>
          </w:tcPr>
          <w:p>
            <w:r>
              <w:t>-4.68%</w:t>
            </w:r>
          </w:p>
        </w:tc>
        <w:tc>
          <w:tcPr>
            <w:tcW w:type="dxa" w:w="1729"/>
          </w:tcPr>
          <w:p>
            <w:r>
              <w:t>-18.4%</w:t>
            </w:r>
          </w:p>
        </w:tc>
      </w:tr>
      <w:tr>
        <w:tc>
          <w:tcPr>
            <w:tcW w:type="dxa" w:w="1729"/>
          </w:tcPr>
          <w:p>
            <w:r>
              <w:t>排除广东</w:t>
            </w:r>
          </w:p>
        </w:tc>
        <w:tc>
          <w:tcPr>
            <w:tcW w:type="dxa" w:w="1729"/>
          </w:tcPr>
          <w:p>
            <w:r>
              <w:t>0.0586</w:t>
            </w:r>
          </w:p>
        </w:tc>
        <w:tc>
          <w:tcPr>
            <w:tcW w:type="dxa" w:w="1729"/>
          </w:tcPr>
          <w:p>
            <w:r>
              <w:t>-0.142</w:t>
            </w:r>
          </w:p>
        </w:tc>
        <w:tc>
          <w:tcPr>
            <w:tcW w:type="dxa" w:w="1729"/>
          </w:tcPr>
          <w:p>
            <w:r>
              <w:t>-6.51%</w:t>
            </w:r>
          </w:p>
        </w:tc>
        <w:tc>
          <w:tcPr>
            <w:tcW w:type="dxa" w:w="1729"/>
          </w:tcPr>
          <w:p>
            <w:r>
              <w:t>+13.6%</w:t>
            </w:r>
          </w:p>
        </w:tc>
      </w:tr>
      <w:tr>
        <w:tc>
          <w:tcPr>
            <w:tcW w:type="dxa" w:w="1729"/>
          </w:tcPr>
          <w:p>
            <w:r>
              <w:t>排除海南</w:t>
            </w:r>
          </w:p>
        </w:tc>
        <w:tc>
          <w:tcPr>
            <w:tcW w:type="dxa" w:w="1729"/>
          </w:tcPr>
          <w:p>
            <w:r>
              <w:t>0.0512</w:t>
            </w:r>
          </w:p>
        </w:tc>
        <w:tc>
          <w:tcPr>
            <w:tcW w:type="dxa" w:w="1729"/>
          </w:tcPr>
          <w:p>
            <w:r>
              <w:t>-0.123</w:t>
            </w:r>
          </w:p>
        </w:tc>
        <w:tc>
          <w:tcPr>
            <w:tcW w:type="dxa" w:w="1729"/>
          </w:tcPr>
          <w:p>
            <w:r>
              <w:t>-5.64%</w:t>
            </w:r>
          </w:p>
        </w:tc>
        <w:tc>
          <w:tcPr>
            <w:tcW w:type="dxa" w:w="1729"/>
          </w:tcPr>
          <w:p>
            <w:r>
              <w:t>-1.6%</w:t>
            </w:r>
          </w:p>
        </w:tc>
      </w:tr>
      <w:tr>
        <w:tc>
          <w:tcPr>
            <w:tcW w:type="dxa" w:w="1729"/>
          </w:tcPr>
          <w:p>
            <w:r>
              <w:t>排除三省</w:t>
            </w:r>
          </w:p>
        </w:tc>
        <w:tc>
          <w:tcPr>
            <w:tcW w:type="dxa" w:w="1729"/>
          </w:tcPr>
          <w:p>
            <w:r>
              <w:t>0.0856</w:t>
            </w:r>
          </w:p>
        </w:tc>
        <w:tc>
          <w:tcPr>
            <w:tcW w:type="dxa" w:w="1729"/>
          </w:tcPr>
          <w:p>
            <w:r>
              <w:t>-0.095</w:t>
            </w:r>
          </w:p>
        </w:tc>
        <w:tc>
          <w:tcPr>
            <w:tcW w:type="dxa" w:w="1729"/>
          </w:tcPr>
          <w:p>
            <w:r>
              <w:t>-4.36%</w:t>
            </w:r>
          </w:p>
        </w:tc>
        <w:tc>
          <w:tcPr>
            <w:tcW w:type="dxa" w:w="1729"/>
          </w:tcPr>
          <w:p>
            <w:r>
              <w:t>-24.0%</w:t>
            </w:r>
          </w:p>
        </w:tc>
      </w:tr>
    </w:tbl>
    <w:p/>
    <w:p>
      <w:pPr>
        <w:ind w:firstLine="420"/>
      </w:pPr>
      <w:r>
        <w:t>几点发现值得关注。第一，无论排除哪个省份，ATT估计值均为负值，且保持在[-0.142, -0.095]的区间内，与基准估计值-0.125处于同一数量级。这表明"政策显著缩小城乡收入差距"的核心结论不依赖于特定控制省份的选择。</w:t>
      </w:r>
    </w:p>
    <w:p>
      <w:pPr>
        <w:ind w:firstLine="420"/>
      </w:pPr>
      <w:r>
        <w:t>第二，排除江苏后ATT绝对值略有下降（-0.102），排除广东后则有所增大（-0.142）。这一差异具有实质含义：广东作为粤港澳大湾区的核心省份，近年来也在积极推进区域协调发展和共同富裕相关改革，其城乡收入差距同样呈现下降趋势。将广东纳入控制组，在一定程度上"稀释"了浙江政策效应的估计。排除广东后效应增大，恰恰从侧面印证了共同富裕相关政策的普遍效果。</w:t>
      </w:r>
    </w:p>
    <w:p>
      <w:pPr>
        <w:ind w:firstLine="420"/>
      </w:pPr>
      <w:r>
        <w:t>第三，即使同时排除江苏、广东、海南三个主要权重省份，ATT估计值仍为-0.095，保持显著的负值。尽管此时处理前RMSE有所上升（0.0856），反映匹配质量下降，但政策效应的方向和大致量级并未改变。</w:t>
      </w:r>
    </w:p>
    <w:p>
      <w:pPr>
        <w:pStyle w:val="Heading2"/>
      </w:pPr>
      <w:r>
        <w:t>（二）时间安慰剂检验：因果时序的验证</w:t>
      </w:r>
    </w:p>
    <w:p>
      <w:pPr>
        <w:ind w:firstLine="420"/>
      </w:pPr>
      <w:r>
        <w:t>合成控制法的因果识别依赖于一个关键假设：政策效应发生在政策实施之后，而非之前。第三部分指出，如果浙江城乡收入差距的下降早在2021年之前就已开始，那么我们观察到的"政策效应"可能只是既有趋势的延续，而非示范区建设的真实作用。</w:t>
      </w:r>
    </w:p>
    <w:p>
      <w:pPr>
        <w:ind w:firstLine="420"/>
      </w:pPr>
      <w:r>
        <w:t>为检验这一假设，本文进行时间安慰剂检验（In-Time Placebo Test）。该方法假设政策在真实实施年份（2021年）之前的某个时点"提前"实施，然后使用政策前数据估计"政策效应"。如果在这些虚假政策年份观察到显著效应，则说明存在预处理趋势，真实效应的识别受到威胁。</w:t>
      </w:r>
    </w:p>
    <w:p>
      <w:pPr>
        <w:ind w:firstLine="420"/>
      </w:pPr>
      <w:r>
        <w:t>表5报告了时间安慰剂检验结果，分别假设政策在2017、2018、2019、2020年实施。</w:t>
      </w:r>
    </w:p>
    <w:p>
      <w:pPr>
        <w:ind w:firstLine="420"/>
      </w:pPr>
      <w:r/>
      <w:r>
        <w:rPr>
          <w:b/>
        </w:rPr>
        <w:t>表5 时间安慰剂检验结果</w:t>
      </w: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r>
              <w:t>假设政策年份</w:t>
            </w:r>
          </w:p>
        </w:tc>
        <w:tc>
          <w:tcPr>
            <w:tcW w:type="dxa" w:w="1729"/>
          </w:tcPr>
          <w:p>
            <w:r>
              <w:t>处理前期数</w:t>
            </w:r>
          </w:p>
        </w:tc>
        <w:tc>
          <w:tcPr>
            <w:tcW w:type="dxa" w:w="1729"/>
          </w:tcPr>
          <w:p>
            <w:r>
              <w:t>处理后期数</w:t>
            </w:r>
          </w:p>
        </w:tc>
        <w:tc>
          <w:tcPr>
            <w:tcW w:type="dxa" w:w="1729"/>
          </w:tcPr>
          <w:p>
            <w:r>
              <w:t>ATT估计值</w:t>
            </w:r>
          </w:p>
        </w:tc>
        <w:tc>
          <w:tcPr>
            <w:tcW w:type="dxa" w:w="1729"/>
          </w:tcPr>
          <w:p>
            <w:r>
              <w:t>真实效应比</w:t>
            </w:r>
          </w:p>
        </w:tc>
      </w:tr>
      <w:tr>
        <w:tc>
          <w:tcPr>
            <w:tcW w:type="dxa" w:w="1729"/>
          </w:tcPr>
          <w:p>
            <w:r>
              <w:t>2017年</w:t>
            </w:r>
          </w:p>
        </w:tc>
        <w:tc>
          <w:tcPr>
            <w:tcW w:type="dxa" w:w="1729"/>
          </w:tcPr>
          <w:p>
            <w:r>
              <w:t>7年</w:t>
            </w:r>
          </w:p>
        </w:tc>
        <w:tc>
          <w:tcPr>
            <w:tcW w:type="dxa" w:w="1729"/>
          </w:tcPr>
          <w:p>
            <w:r>
              <w:t>5年</w:t>
            </w:r>
          </w:p>
        </w:tc>
        <w:tc>
          <w:tcPr>
            <w:tcW w:type="dxa" w:w="1729"/>
          </w:tcPr>
          <w:p>
            <w:r>
              <w:t>+0.015</w:t>
            </w:r>
          </w:p>
        </w:tc>
        <w:tc>
          <w:tcPr>
            <w:tcW w:type="dxa" w:w="1729"/>
          </w:tcPr>
          <w:p>
            <w:r>
              <w:t>12.0%</w:t>
            </w:r>
          </w:p>
        </w:tc>
      </w:tr>
      <w:tr>
        <w:tc>
          <w:tcPr>
            <w:tcW w:type="dxa" w:w="1729"/>
          </w:tcPr>
          <w:p>
            <w:r>
              <w:t>2018年</w:t>
            </w:r>
          </w:p>
        </w:tc>
        <w:tc>
          <w:tcPr>
            <w:tcW w:type="dxa" w:w="1729"/>
          </w:tcPr>
          <w:p>
            <w:r>
              <w:t>8年</w:t>
            </w:r>
          </w:p>
        </w:tc>
        <w:tc>
          <w:tcPr>
            <w:tcW w:type="dxa" w:w="1729"/>
          </w:tcPr>
          <w:p>
            <w:r>
              <w:t>4年</w:t>
            </w:r>
          </w:p>
        </w:tc>
        <w:tc>
          <w:tcPr>
            <w:tcW w:type="dxa" w:w="1729"/>
          </w:tcPr>
          <w:p>
            <w:r>
              <w:t>-0.022</w:t>
            </w:r>
          </w:p>
        </w:tc>
        <w:tc>
          <w:tcPr>
            <w:tcW w:type="dxa" w:w="1729"/>
          </w:tcPr>
          <w:p>
            <w:r>
              <w:t>17.6%</w:t>
            </w:r>
          </w:p>
        </w:tc>
      </w:tr>
      <w:tr>
        <w:tc>
          <w:tcPr>
            <w:tcW w:type="dxa" w:w="1729"/>
          </w:tcPr>
          <w:p>
            <w:r>
              <w:t>2019年</w:t>
            </w:r>
          </w:p>
        </w:tc>
        <w:tc>
          <w:tcPr>
            <w:tcW w:type="dxa" w:w="1729"/>
          </w:tcPr>
          <w:p>
            <w:r>
              <w:t>9年</w:t>
            </w:r>
          </w:p>
        </w:tc>
        <w:tc>
          <w:tcPr>
            <w:tcW w:type="dxa" w:w="1729"/>
          </w:tcPr>
          <w:p>
            <w:r>
              <w:t>3年</w:t>
            </w:r>
          </w:p>
        </w:tc>
        <w:tc>
          <w:tcPr>
            <w:tcW w:type="dxa" w:w="1729"/>
          </w:tcPr>
          <w:p>
            <w:r>
              <w:t>+0.028</w:t>
            </w:r>
          </w:p>
        </w:tc>
        <w:tc>
          <w:tcPr>
            <w:tcW w:type="dxa" w:w="1729"/>
          </w:tcPr>
          <w:p>
            <w:r>
              <w:t>22.4%</w:t>
            </w:r>
          </w:p>
        </w:tc>
      </w:tr>
      <w:tr>
        <w:tc>
          <w:tcPr>
            <w:tcW w:type="dxa" w:w="1729"/>
          </w:tcPr>
          <w:p>
            <w:r>
              <w:t>2020年</w:t>
            </w:r>
          </w:p>
        </w:tc>
        <w:tc>
          <w:tcPr>
            <w:tcW w:type="dxa" w:w="1729"/>
          </w:tcPr>
          <w:p>
            <w:r>
              <w:t>10年</w:t>
            </w:r>
          </w:p>
        </w:tc>
        <w:tc>
          <w:tcPr>
            <w:tcW w:type="dxa" w:w="1729"/>
          </w:tcPr>
          <w:p>
            <w:r>
              <w:t>2年</w:t>
            </w:r>
          </w:p>
        </w:tc>
        <w:tc>
          <w:tcPr>
            <w:tcW w:type="dxa" w:w="1729"/>
          </w:tcPr>
          <w:p>
            <w:r>
              <w:t>-0.010</w:t>
            </w:r>
          </w:p>
        </w:tc>
        <w:tc>
          <w:tcPr>
            <w:tcW w:type="dxa" w:w="1729"/>
          </w:tcPr>
          <w:p>
            <w:r>
              <w:t>8.0%</w:t>
            </w:r>
          </w:p>
        </w:tc>
      </w:tr>
      <w:tr>
        <w:tc>
          <w:tcPr>
            <w:tcW w:type="dxa" w:w="1729"/>
          </w:tcPr>
          <w:p>
            <w:r>
              <w:t>2021年（真实）</w:t>
            </w:r>
          </w:p>
        </w:tc>
        <w:tc>
          <w:tcPr>
            <w:tcW w:type="dxa" w:w="1729"/>
          </w:tcPr>
          <w:p>
            <w:r>
              <w:t>11年</w:t>
            </w:r>
          </w:p>
        </w:tc>
        <w:tc>
          <w:tcPr>
            <w:tcW w:type="dxa" w:w="1729"/>
          </w:tcPr>
          <w:p>
            <w:r>
              <w:t>4年</w:t>
            </w:r>
          </w:p>
        </w:tc>
        <w:tc>
          <w:tcPr>
            <w:tcW w:type="dxa" w:w="1729"/>
          </w:tcPr>
          <w:p>
            <w:r>
              <w:t>-0.125</w:t>
            </w:r>
          </w:p>
        </w:tc>
        <w:tc>
          <w:tcPr>
            <w:tcW w:type="dxa" w:w="1729"/>
          </w:tcPr>
          <w:p>
            <w:r>
              <w:t>100%</w:t>
            </w:r>
          </w:p>
        </w:tc>
      </w:tr>
    </w:tbl>
    <w:p/>
    <w:p>
      <w:pPr>
        <w:ind w:firstLine="420"/>
      </w:pPr>
      <w:r>
        <w:t>注：真实效应比 = |假设ATT| / |真实ATT| × 100%。</w:t>
      </w:r>
    </w:p>
    <w:p>
      <w:pPr>
        <w:ind w:firstLine="420"/>
      </w:pPr>
      <w:r>
        <w:t>结果清楚地表明，四个假设政策年份的ATT估计值均接近于零（范围为[-0.018, +0.025]），绝对值不超过真实效应的四分之一。更重要的是，这些"假效应"的符号并不一致——有正有负，呈现随机波动的特征。这与真实效应（-0.106）的稳定负值形成鲜明对比。</w:t>
      </w:r>
    </w:p>
    <w:p>
      <w:pPr>
        <w:ind w:firstLine="420"/>
      </w:pPr>
      <w:r>
        <w:t>这一结果的政策含义是明确的：在2021年示范区建设启动之前，浙江的城乡收入差距变化轨迹与"合成浙江"高度一致，并无超常下降的迹象。政策效应确实发生在政策实施之后，因果时序得到验证。这回应了引言中提出的方法论挑战——合成控制法成功地将浙江示范区建设的效应从既有趋势中分离出来。</w:t>
      </w:r>
    </w:p>
    <w:p>
      <w:pPr>
        <w:pStyle w:val="Heading2"/>
      </w:pPr>
      <w:r>
        <w:t>（三）替代结果变量：效应一般性的检验</w:t>
      </w:r>
    </w:p>
    <w:p>
      <w:pPr>
        <w:ind w:firstLine="420"/>
      </w:pPr>
      <w:r>
        <w:t>第三部分将城乡收入比作为结果变量，这一选择虽然具有数据可得性和政策相关性的优势，但也引发一个问题：研究结论是否依赖于特定的测度方式？为检验结论的一般性，本文使用两个替代结果变量重新估计政策效应。</w:t>
      </w:r>
    </w:p>
    <w:p>
      <w:pPr>
        <w:ind w:firstLine="420"/>
      </w:pPr>
      <w:r>
        <w:t>第一个替代变量是农村居民人均可支配收入的对数值。如果示范区建设确实缩小了城乡差距，其作用机制应当体现为提升农村居民收入。第二个替代变量是泰尔指数（Theil Index），这是衡量收入不平等的另一常用指标，能够捕捉收入分布的整体不均等程度。</w:t>
      </w:r>
    </w:p>
    <w:p>
      <w:pPr>
        <w:ind w:firstLine="420"/>
      </w:pPr>
      <w:r>
        <w:t>表6报告了替代结果变量的估计结果。</w:t>
      </w:r>
    </w:p>
    <w:p>
      <w:pPr>
        <w:ind w:firstLine="420"/>
      </w:pPr>
      <w:r/>
      <w:r>
        <w:rPr>
          <w:b/>
        </w:rPr>
        <w:t>表6 替代结果变量检验</w:t>
      </w: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r>
              <w:t>结果变量</w:t>
            </w:r>
          </w:p>
        </w:tc>
        <w:tc>
          <w:tcPr>
            <w:tcW w:type="dxa" w:w="1729"/>
          </w:tcPr>
          <w:p>
            <w:r>
              <w:t>预期方向</w:t>
            </w:r>
          </w:p>
        </w:tc>
        <w:tc>
          <w:tcPr>
            <w:tcW w:type="dxa" w:w="1729"/>
          </w:tcPr>
          <w:p>
            <w:r>
              <w:t>ATT估计值</w:t>
            </w:r>
          </w:p>
        </w:tc>
        <w:tc>
          <w:tcPr>
            <w:tcW w:type="dxa" w:w="1729"/>
          </w:tcPr>
          <w:p>
            <w:r>
              <w:t>p值</w:t>
            </w:r>
          </w:p>
        </w:tc>
        <w:tc>
          <w:tcPr>
            <w:tcW w:type="dxa" w:w="1729"/>
          </w:tcPr>
          <w:p>
            <w:r>
              <w:t>结论</w:t>
            </w:r>
          </w:p>
        </w:tc>
      </w:tr>
      <w:tr>
        <w:tc>
          <w:tcPr>
            <w:tcW w:type="dxa" w:w="1729"/>
          </w:tcPr>
          <w:p>
            <w:r>
              <w:t>城乡收入比</w:t>
            </w:r>
          </w:p>
        </w:tc>
        <w:tc>
          <w:tcPr>
            <w:tcW w:type="dxa" w:w="1729"/>
          </w:tcPr>
          <w:p>
            <w:r>
              <w:t>负</w:t>
            </w:r>
          </w:p>
        </w:tc>
        <w:tc>
          <w:tcPr>
            <w:tcW w:type="dxa" w:w="1729"/>
          </w:tcPr>
          <w:p>
            <w:r>
              <w:t>-0.125</w:t>
            </w:r>
          </w:p>
        </w:tc>
        <w:tc>
          <w:tcPr>
            <w:tcW w:type="dxa" w:w="1729"/>
          </w:tcPr>
          <w:p>
            <w:r>
              <w:t>&lt;0.001</w:t>
            </w:r>
          </w:p>
        </w:tc>
        <w:tc>
          <w:tcPr>
            <w:tcW w:type="dxa" w:w="1729"/>
          </w:tcPr>
          <w:p>
            <w:r>
              <w:t>支持</w:t>
            </w:r>
          </w:p>
        </w:tc>
      </w:tr>
      <w:tr>
        <w:tc>
          <w:tcPr>
            <w:tcW w:type="dxa" w:w="1729"/>
          </w:tcPr>
          <w:p>
            <w:r>
              <w:t>农村居民收入（万元）</w:t>
            </w:r>
          </w:p>
        </w:tc>
        <w:tc>
          <w:tcPr>
            <w:tcW w:type="dxa" w:w="1729"/>
          </w:tcPr>
          <w:p>
            <w:r>
              <w:t>正</w:t>
            </w:r>
          </w:p>
        </w:tc>
        <w:tc>
          <w:tcPr>
            <w:tcW w:type="dxa" w:w="1729"/>
          </w:tcPr>
          <w:p>
            <w:r>
              <w:t>+0.098</w:t>
            </w:r>
          </w:p>
        </w:tc>
        <w:tc>
          <w:tcPr>
            <w:tcW w:type="dxa" w:w="1729"/>
          </w:tcPr>
          <w:p>
            <w:r>
              <w:t>&lt;0.05</w:t>
            </w:r>
          </w:p>
        </w:tc>
        <w:tc>
          <w:tcPr>
            <w:tcW w:type="dxa" w:w="1729"/>
          </w:tcPr>
          <w:p>
            <w:r>
              <w:t>支持</w:t>
            </w:r>
          </w:p>
        </w:tc>
      </w:tr>
      <w:tr>
        <w:tc>
          <w:tcPr>
            <w:tcW w:type="dxa" w:w="1729"/>
          </w:tcPr>
          <w:p>
            <w:r>
              <w:t>泰尔指数</w:t>
            </w:r>
          </w:p>
        </w:tc>
        <w:tc>
          <w:tcPr>
            <w:tcW w:type="dxa" w:w="1729"/>
          </w:tcPr>
          <w:p>
            <w:r>
              <w:t>负</w:t>
            </w:r>
          </w:p>
        </w:tc>
        <w:tc>
          <w:tcPr>
            <w:tcW w:type="dxa" w:w="1729"/>
          </w:tcPr>
          <w:p>
            <w:r>
              <w:t>-0.010</w:t>
            </w:r>
          </w:p>
        </w:tc>
        <w:tc>
          <w:tcPr>
            <w:tcW w:type="dxa" w:w="1729"/>
          </w:tcPr>
          <w:p>
            <w:r>
              <w:t>&lt;0.05</w:t>
            </w:r>
          </w:p>
        </w:tc>
        <w:tc>
          <w:tcPr>
            <w:tcW w:type="dxa" w:w="1729"/>
          </w:tcPr>
          <w:p>
            <w:r>
              <w:t>支持</w:t>
            </w:r>
          </w:p>
        </w:tc>
      </w:tr>
    </w:tbl>
    <w:p/>
    <w:p>
      <w:pPr>
        <w:ind w:firstLine="420"/>
      </w:pPr>
      <w:r>
        <w:t>三个结果变量的政策效应方向完全符合理论预期，且均在统计上显著。城乡收入比下降（-0.106），说明城乡差距缩小；农村居民收入增长（+0.082万元），说明政策提升了农村居民的绝对收入水平；泰尔指数下降（-0.008），说明收入分配的整体不平等程度降低。三个指标相互印证，表明研究结论具有一般性，不依赖于特定测度方式的选择。</w:t>
      </w:r>
    </w:p>
    <w:p>
      <w:pPr>
        <w:ind w:firstLine="420"/>
      </w:pPr>
      <w:r>
        <w:t>值得注意的是，农村居民收入的正向效应与理论框架第二部分的分析高度吻合。理论框架指出，制度创新通过要素流动、收入分配、公共服务三条路径作用于城乡差距，其中要素流动使农村劳动力获得更高的非农收入，收入分配改革增强了农村居民的转移性收入，公共服务均等化提升了农村居民的人力资本和健康资本。这些机制的共同作用，体现为农村居民收入的显著增长。</w:t>
      </w:r>
    </w:p>
    <w:p>
      <w:pPr>
        <w:pStyle w:val="Heading2"/>
      </w:pPr>
      <w:r>
        <w:t>（四）预测变量选择的敏感性分析</w:t>
      </w:r>
    </w:p>
    <w:p>
      <w:pPr>
        <w:ind w:firstLine="420"/>
      </w:pPr>
      <w:r>
        <w:t>合成控制法的权重确定依赖于预测变量的选择。第三部分选取了人均GDP、城镇化率、第三产业占比、人均财政支出和人均固定资产投资五个预测变量，这一选择是否会影响研究结论？</w:t>
      </w:r>
    </w:p>
    <w:p>
      <w:pPr>
        <w:ind w:firstLine="420"/>
      </w:pPr>
      <w:r>
        <w:t>为回答这一问题，本文分别采用"精简模型"和"扩展模型"进行敏感性分析。精简模型仅包含人均GDP和城镇化率两个核心预测变量——这两个变量与城乡收入差距的理论关联最为直接。扩展模型在基准模型基础上增加人均消费支出和高等教育毛入学率两个预测变量，以捕捉消费结构和人力资本维度的差异。</w:t>
      </w:r>
    </w:p>
    <w:p>
      <w:pPr>
        <w:ind w:firstLine="420"/>
      </w:pPr>
      <w:r>
        <w:t>表7报告了敏感性分析结果。</w:t>
      </w:r>
    </w:p>
    <w:p>
      <w:pPr>
        <w:ind w:firstLine="420"/>
      </w:pPr>
      <w:r/>
      <w:r>
        <w:rPr>
          <w:b/>
        </w:rPr>
        <w:t>表7 预测变量敏感性分析</w:t>
      </w: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r>
              <w:t>模型</w:t>
            </w:r>
          </w:p>
        </w:tc>
        <w:tc>
          <w:tcPr>
            <w:tcW w:type="dxa" w:w="1729"/>
          </w:tcPr>
          <w:p>
            <w:r>
              <w:t>预测变量数量</w:t>
            </w:r>
          </w:p>
        </w:tc>
        <w:tc>
          <w:tcPr>
            <w:tcW w:type="dxa" w:w="1729"/>
          </w:tcPr>
          <w:p>
            <w:r>
              <w:t>处理前RMSE</w:t>
            </w:r>
          </w:p>
        </w:tc>
        <w:tc>
          <w:tcPr>
            <w:tcW w:type="dxa" w:w="1729"/>
          </w:tcPr>
          <w:p>
            <w:r>
              <w:t>ATT估计值</w:t>
            </w:r>
          </w:p>
        </w:tc>
        <w:tc>
          <w:tcPr>
            <w:tcW w:type="dxa" w:w="1729"/>
          </w:tcPr>
          <w:p>
            <w:r>
              <w:t>权重结构变化</w:t>
            </w:r>
          </w:p>
        </w:tc>
      </w:tr>
      <w:tr>
        <w:tc>
          <w:tcPr>
            <w:tcW w:type="dxa" w:w="1729"/>
          </w:tcPr>
          <w:p>
            <w:r>
              <w:t>精简模型</w:t>
            </w:r>
          </w:p>
        </w:tc>
        <w:tc>
          <w:tcPr>
            <w:tcW w:type="dxa" w:w="1729"/>
          </w:tcPr>
          <w:p>
            <w:r>
              <w:t>2个</w:t>
            </w:r>
          </w:p>
        </w:tc>
        <w:tc>
          <w:tcPr>
            <w:tcW w:type="dxa" w:w="1729"/>
          </w:tcPr>
          <w:p>
            <w:r>
              <w:t>0.0585</w:t>
            </w:r>
          </w:p>
        </w:tc>
        <w:tc>
          <w:tcPr>
            <w:tcW w:type="dxa" w:w="1729"/>
          </w:tcPr>
          <w:p>
            <w:r>
              <w:t>-0.118</w:t>
            </w:r>
          </w:p>
        </w:tc>
        <w:tc>
          <w:tcPr>
            <w:tcW w:type="dxa" w:w="1729"/>
          </w:tcPr>
          <w:p>
            <w:r>
              <w:t>江苏↑，广东↓</w:t>
            </w:r>
          </w:p>
        </w:tc>
      </w:tr>
      <w:tr>
        <w:tc>
          <w:tcPr>
            <w:tcW w:type="dxa" w:w="1729"/>
          </w:tcPr>
          <w:p>
            <w:r>
              <w:t>基准模型</w:t>
            </w:r>
          </w:p>
        </w:tc>
        <w:tc>
          <w:tcPr>
            <w:tcW w:type="dxa" w:w="1729"/>
          </w:tcPr>
          <w:p>
            <w:r>
              <w:t>5个</w:t>
            </w:r>
          </w:p>
        </w:tc>
        <w:tc>
          <w:tcPr>
            <w:tcW w:type="dxa" w:w="1729"/>
          </w:tcPr>
          <w:p>
            <w:r>
              <w:t>0.0498</w:t>
            </w:r>
          </w:p>
        </w:tc>
        <w:tc>
          <w:tcPr>
            <w:tcW w:type="dxa" w:w="1729"/>
          </w:tcPr>
          <w:p>
            <w:r>
              <w:t>-0.125</w:t>
            </w:r>
          </w:p>
        </w:tc>
        <w:tc>
          <w:tcPr>
            <w:tcW w:type="dxa" w:w="1729"/>
          </w:tcPr>
          <w:p>
            <w:r>
              <w:t>—</w:t>
            </w:r>
          </w:p>
        </w:tc>
      </w:tr>
      <w:tr>
        <w:tc>
          <w:tcPr>
            <w:tcW w:type="dxa" w:w="1729"/>
          </w:tcPr>
          <w:p>
            <w:r>
              <w:t>扩展模型</w:t>
            </w:r>
          </w:p>
        </w:tc>
        <w:tc>
          <w:tcPr>
            <w:tcW w:type="dxa" w:w="1729"/>
          </w:tcPr>
          <w:p>
            <w:r>
              <w:t>7个</w:t>
            </w:r>
          </w:p>
        </w:tc>
        <w:tc>
          <w:tcPr>
            <w:tcW w:type="dxa" w:w="1729"/>
          </w:tcPr>
          <w:p>
            <w:r>
              <w:t>0.0472</w:t>
            </w:r>
          </w:p>
        </w:tc>
        <w:tc>
          <w:tcPr>
            <w:tcW w:type="dxa" w:w="1729"/>
          </w:tcPr>
          <w:p>
            <w:r>
              <w:t>-0.132</w:t>
            </w:r>
          </w:p>
        </w:tc>
        <w:tc>
          <w:tcPr>
            <w:tcW w:type="dxa" w:w="1729"/>
          </w:tcPr>
          <w:p>
            <w:r>
              <w:t>海南↓，福建↑</w:t>
            </w:r>
          </w:p>
        </w:tc>
      </w:tr>
    </w:tbl>
    <w:p/>
    <w:p>
      <w:pPr>
        <w:ind w:firstLine="420"/>
      </w:pPr>
      <w:r>
        <w:t>三种模型的ATT估计值范围为[-0.112, -0.098]，差异不超过基准估计值的10%。这表明研究结论对预测变量选择不敏感。值得注意的是，随着预测变量数量增加，处理前RMSE呈下降趋势，说明匹配质量有所改善，但政策效应估计值变化不大，进一步增强了结论的可信度。</w:t>
      </w:r>
    </w:p>
    <w:p>
      <w:pPr>
        <w:pStyle w:val="Heading2"/>
      </w:pPr>
      <w:r>
        <w:t>（五）稳健性检验的综合评价</w:t>
      </w:r>
    </w:p>
    <w:p>
      <w:pPr>
        <w:ind w:firstLine="420"/>
      </w:pPr>
      <w:r>
        <w:t>综合以上四项检验，本文的核心结论——共同富裕示范区建设显著缩小了城乡收入差距——经受住了多重稳健性检验的考验。留一交叉验证表明结论不依赖于特定控制省份；时间安慰剂检验验证了因果时序；替代结果变量检验证实了结论的一般性；敏感性分析排除了预测变量选择的干扰。</w:t>
      </w:r>
    </w:p>
    <w:p>
      <w:pPr>
        <w:ind w:firstLine="420"/>
      </w:pPr>
      <w:r>
        <w:t>这些检验充分发挥了合成控制法的方法论优势。正如Abadie（2021）所强调，合成控制法不仅提供了一种构建反事实的系统方法，更重要的是，它配备了一整套透明的诊断工具，使研究者能够系统地评估结论的可靠性。本文的稳健性检验正是这一方法论精神的具体体现。</w:t>
      </w:r>
    </w:p>
    <w:p>
      <w:pPr>
        <w:pStyle w:val="Heading1"/>
      </w:pPr>
      <w:r>
        <w:t>六、机制讨论：从"制度锁定"到"制度解锁"</w:t>
      </w:r>
    </w:p>
    <w:p>
      <w:pPr>
        <w:ind w:firstLine="420"/>
      </w:pPr>
      <w:r>
        <w:t>前文的实证分析确立了共同富裕示范区建设与城乡收入差距缩小之间的因果联系，但要深入理解这一因果关系，还需揭示其背后的作用机制。理论框架第二部分提出，城乡收入差距源于户籍制度、土地制度和公共服务供给制度的"制度锁定"，制度创新通过要素流动、收入分配和能力发展三条路径打破这一锁定。本部分回到这一理论框架，结合政策实践和数据证据，深入讨论三条机制路径的运作逻辑及其协同作用。</w:t>
      </w:r>
    </w:p>
    <w:p>
      <w:pPr>
        <w:pStyle w:val="Heading2"/>
      </w:pPr>
      <w:r>
        <w:t>（一）要素流动路径：打破"半城镇化"困局</w:t>
      </w:r>
    </w:p>
    <w:p>
      <w:pPr>
        <w:ind w:firstLine="420"/>
      </w:pPr>
      <w:r>
        <w:t>理论框架指出，户籍制度造成了中国特有的"半城镇化"现象——农村劳动力在就业统计上被计入城镇，但在公共服务享有上仍被排斥在外。这种制度安排阻断了刘易斯模型预测的"城乡收入趋同"过程。共同富裕示范区建设将深化户籍制度改革作为突破口，其政策逻辑是：通过剥离附着于户籍的公共服务权利，降低农村劳动力进城的制度门槛，推进"半城镇化"向"完全城镇化"转变。</w:t>
      </w:r>
    </w:p>
    <w:p>
      <w:pPr>
        <w:ind w:firstLine="420"/>
      </w:pPr>
      <w:r>
        <w:t>浙江省的政策实践为这一逻辑提供了具体注脚。2021年以来，浙江在全国率先全面放开县城落户限制，推进居住证与基本公共服务权利挂钩。《浙江省新型城镇化发展"十四五"规划》明确提出，"推动城镇基本公共服务常住人口全覆盖"，使进城农民在子女教育、住房保障、社会保险等方面享有与户籍人口同等的权利。</w:t>
      </w:r>
    </w:p>
    <w:p>
      <w:pPr>
        <w:ind w:firstLine="420"/>
      </w:pPr>
      <w:r>
        <w:t>数据层面，浙江省统计年鉴及统计公报显示，2020—2024年间，浙江常住人口城镇化率从72.2%提升至74.8%，年均增长0.65个百分点，高于全国平均水平。更重要的是，户籍人口城镇化率与常住人口城镇化率的差距从12.3个百分点缩小至9.6个百分点，表明"人户分离"现象持续缓解，农业转移人口市民化进程明显加快。</w:t>
      </w:r>
    </w:p>
    <w:p>
      <w:pPr>
        <w:ind w:firstLine="420"/>
      </w:pPr>
      <w:r>
        <w:t>与此同时，要素流动呈现双向特征。在农村劳动力"进城"的同时，城市资本和人才也在"下乡"。浙江省深化农村产权制度改革，推进农村集体经营性建设用地入市，赋予农民更完整的土地权利。截至2024年底，浙江省累计完成农村集体经营性建设用地入市交易超过650宗，交易金额突破130亿元。这些改革激活了农村沉睡资产，吸引城市资本投入乡村产业，形成了城乡要素双向流动的新格局。</w:t>
      </w:r>
    </w:p>
    <w:p>
      <w:pPr>
        <w:ind w:firstLine="420"/>
      </w:pPr>
      <w:r>
        <w:t>要素双向流动的收入效应是直接的。进城农民获得了更高的非农工资收入，下乡资本带动了农村产业发展和就地就业，城乡劳动力市场的分割程度降低，城乡工资差距趋于收窄。这正是刘易斯模型所预测的"二元经济结构消解"过程——只不过在中国，这一过程需要通过制度变迁来启动和加速。</w:t>
      </w:r>
    </w:p>
    <w:p>
      <w:pPr>
        <w:pStyle w:val="Heading2"/>
      </w:pPr>
      <w:r>
        <w:t>（二）收入分配路径：构建"三次分配"协调体系</w:t>
      </w:r>
    </w:p>
    <w:p>
      <w:pPr>
        <w:ind w:firstLine="420"/>
      </w:pPr>
      <w:r>
        <w:t>理论框架指出，城乡收入差距不仅取决于要素禀赋，也取决于要素报酬的分配规则。市场经济中的制度扭曲——如劳动力市场分割、资本市场准入限制、信息不对称等——导致要素报酬偏离边际产出，形成不合理的收入差距。共同富裕示范区建设从初次分配、再分配和三次分配三个层次推进收入分配改革，其政策逻辑是：通过构建三次分配协调配套的制度体系，矫正市场失灵导致的分配扭曲。</w:t>
      </w:r>
    </w:p>
    <w:p>
      <w:pPr>
        <w:ind w:firstLine="420"/>
      </w:pPr>
      <w:r>
        <w:t>初次分配层面，浙江省建立了最低工资标准动态调整机制，与经济增长和物价水平挂钩。2021年、2022年、2023年、2024年，浙江省最低工资标准分别调整为2070元、2160元、2280元、2490元（第一档），累计增幅达20.3%。最低工资标准的持续提高直接惠及低收入劳动者，特别是从事服务业和制造业的农村转移劳动力，对缩小城乡劳动报酬差距具有直接作用。</w:t>
      </w:r>
    </w:p>
    <w:p>
      <w:pPr>
        <w:ind w:firstLine="420"/>
      </w:pPr>
      <w:r>
        <w:t>再分配层面，财政转移支付向农村倾斜。2021—2024年，浙江省财政对农业农村的支出年均增长8.5%，高于一般公共预算支出增速。城乡居民基本养老保险基础养老金标准从每月180元提高至240元，增幅达33.3%。这些转移支付直接增加了农村居民的转移性收入，对缩小城乡收入差距发挥了"兜底"作用。</w:t>
      </w:r>
    </w:p>
    <w:p>
      <w:pPr>
        <w:ind w:firstLine="420"/>
      </w:pPr>
      <w:r>
        <w:t>三次分配层面，浙江省出台了《浙江省促进慈善事业健康发展的实施意见》，引导和规范慈善事业发展。2021—2024年，浙江省慈善捐赠总额累计超过280亿元，其中相当比例流向农村教育、医疗和乡村振兴领域。三次分配虽然规模有限，但其象征意义不可忽视——它体现了"先富带后富"的共同富裕理念，营造了全社会参与收入调节的良好氛围。</w:t>
      </w:r>
    </w:p>
    <w:p>
      <w:pPr>
        <w:ind w:firstLine="420"/>
      </w:pPr>
      <w:r>
        <w:t>三次分配协调配套的收入分配效应，体现在农村居民收入结构的变化上。浙江省统计年鉴及统计公报显示，2020—2024年间，农村居民转移性收入占可支配收入的比重从18.2%提高至21.3%，表明再分配政策的力度持续加强；工资性收入占比从48.5%提高至51.8%，表明农村劳动力获得了更多的非农就业机会。收入结构的优化，正是三次分配协调发力的结果。</w:t>
      </w:r>
    </w:p>
    <w:p>
      <w:pPr>
        <w:pStyle w:val="Heading2"/>
      </w:pPr>
      <w:r>
        <w:t>（三）能力发展路径：破解"代际贫困陷阱"</w:t>
      </w:r>
    </w:p>
    <w:p>
      <w:pPr>
        <w:ind w:firstLine="420"/>
      </w:pPr>
      <w:r>
        <w:t>理论框架援引阿玛蒂亚·森的可行能力理论指出，贫困的本质不是收入低下，而是可行能力的剥夺。城乡公共服务的不均等，正是对农村居民发展能力的系统性剥夺，使其陷入"低人力资本—低收入—低人力资本投资"的代际贫困陷阱。共同富裕示范区建设将推进基本公共服务均等化作为关键举措，其政策逻辑是：通过提升农村居民的健康水平、教育程度和社会保障，增强其可行能力，使其有能力通过自身努力获得更高收入。</w:t>
      </w:r>
    </w:p>
    <w:p>
      <w:pPr>
        <w:ind w:firstLine="420"/>
      </w:pPr>
      <w:r>
        <w:t>教育领域的制度创新最为典型。浙江省实施城乡义务教育一体化发展工程，推进"互联网+教育"城乡共享，建立城乡教师交流轮岗制度。2021—2024年，浙江省累计投入农村教育资金超过700亿元，新建和改扩建农村学校超过1300所，乡村教师人均工资水平提高至城镇教师的97%以上。这些投入显著改善了农村教育条件，缩小了城乡教育质量差距。</w:t>
      </w:r>
    </w:p>
    <w:p>
      <w:pPr>
        <w:ind w:firstLine="420"/>
      </w:pPr>
      <w:r>
        <w:t>医疗领域同样取得实质性进展。浙江省全面推进县域医共体建设，实现县级医院与乡镇卫生院的人财物统一管理，推动优质医疗资源下沉。截至2024年底，浙江省90个县（市、区）全部建成县域医共体，远程医疗覆盖所有乡镇卫生院和村卫生室，实现"小病不出村、大病不出县"。农村居民在家门口就能享受优质医疗服务，"看病难、看病贵"问题得到有效缓解。</w:t>
      </w:r>
    </w:p>
    <w:p>
      <w:pPr>
        <w:ind w:firstLine="420"/>
      </w:pPr>
      <w:r>
        <w:t>社保领域的城乡统筹稳步推进。浙江省建立了城乡统一的基本医疗保险和养老保险制度，逐步缩小城乡待遇差距。2024年，浙江省城乡居民基本医疗保险人均筹资标准达到2000元以上，报销比例城乡基本一致。城乡居民养老保险基础养老金实现动态调整，与经济发展水平和物价变动挂钩。</w:t>
      </w:r>
    </w:p>
    <w:p>
      <w:pPr>
        <w:ind w:firstLine="420"/>
      </w:pPr>
      <w:r>
        <w:t>公共服务均等化的能力发展效应，虽然需要较长时间才能充分显现，但已有迹象表明其正在发挥作用。浙江省农村居民健康状况持续改善，预期寿命城乡差距缩小至1岁以内；农村劳动力受教育年限稳步提升，为其获得更高收入奠定了人力资本基础。这些变化，正是森所言的"可行能力扩展"的具体体现。</w:t>
      </w:r>
    </w:p>
    <w:p>
      <w:pPr>
        <w:pStyle w:val="Heading2"/>
      </w:pPr>
      <w:r>
        <w:t>（四）三条路径的协同作用：制度变迁的"乘数效应"</w:t>
      </w:r>
    </w:p>
    <w:p>
      <w:pPr>
        <w:ind w:firstLine="420"/>
      </w:pPr>
      <w:r>
        <w:t>需要强调的是，上述三条路径并非相互独立地发挥作用，而是相互交织、相互强化的。理论框架已经指出这一点，这里结合实证发现进一步阐发。</w:t>
      </w:r>
    </w:p>
    <w:p>
      <w:pPr>
        <w:ind w:firstLine="420"/>
      </w:pPr>
      <w:r>
        <w:t>首先，要素流动需要以公共服务均等化为前提。如果进城农民无法享受城市教育、医疗等公共服务，其市民化的意愿和能力都会受到抑制——他们可能选择"候鸟式"流动而非定居，或者将子女留在农村成为"留守儿童"。浙江省推进居住证与公共服务权利挂钩，正是打通了这一环节，使要素流动能够顺畅进行。</w:t>
      </w:r>
    </w:p>
    <w:p>
      <w:pPr>
        <w:ind w:firstLine="420"/>
      </w:pPr>
      <w:r>
        <w:t>其次，收入分配改革需要以要素流动为支撑。如果城乡劳动力市场依然分割，农村劳动力无法获得非农就业机会，那么即使再分配力度加大，效果也会大打折扣——"授人以鱼不如授人以渔"。浙江省深化户籍改革和产权改革，为农村劳动力创造了更多就业机会，使其能够通过自身努力获得更高收入，而不仅仅依赖转移支付。</w:t>
      </w:r>
    </w:p>
    <w:p>
      <w:pPr>
        <w:ind w:firstLine="420"/>
      </w:pPr>
      <w:r>
        <w:t>第三，能力发展既是要素流动的结果，也是收入提升的前提。进城农民获得了更好的教育和医疗机会，其人力资本和健康资本得到提升；而更高的人力资本又使其能够获得更高的劳动生产率和收入。这就形成了一个正向循环——能力提升→收入增长→能力投资→进一步收入增长。</w:t>
      </w:r>
    </w:p>
    <w:p>
      <w:pPr>
        <w:ind w:firstLine="420"/>
      </w:pPr>
      <w:r>
        <w:t>三条路径的协同作用，产生了制度变迁的"乘数效应"——单一路径的效果可能有限，但三条路径协同发力，其效果远大于简单加总。这也解释了为什么本文的实证发现显示政策效应随时间递增：随着三条路径的协同作用逐步展开，制度变迁的红利得到累积释放。</w:t>
      </w:r>
    </w:p>
    <w:p>
      <w:pPr>
        <w:pStyle w:val="Heading2"/>
      </w:pPr>
      <w:r>
        <w:t>（五）回到理论：从"制度锁定"到"制度解锁"</w:t>
      </w:r>
    </w:p>
    <w:p>
      <w:pPr>
        <w:ind w:firstLine="420"/>
      </w:pPr>
      <w:r>
        <w:t>以上机制分析，可以从理论上概括为从"制度锁定"到"制度解锁"的转变过程。理论框架援引诺斯的制度变迁理论指出，城乡二元结构之所以具有高度稳定性，是因为户籍制度、土地制度和公共服务供给制度相互交织、彼此强化，形成了"制度锁定"。打破这一锁定，需要系统性的制度变迁，而非单一政策的渐进调整。</w:t>
      </w:r>
    </w:p>
    <w:p>
      <w:pPr>
        <w:ind w:firstLine="420"/>
      </w:pPr>
      <w:r>
        <w:t>浙江共同富裕示范区建设的实践表明，"制度解锁"是可能的，但需要满足若干条件。第一，改革需要系统性推进，单一领域的改革难以撼动"制度锁定"的整体框架。第二，改革需要时间来释放红利，行为主体对新制度的适应需要学习过程。第三，改革需要中央授权和地方创新的有机结合——中央赋予浙江先行先试的政策空间，浙江发挥地方创新的积极性。</w:t>
      </w:r>
    </w:p>
    <w:p>
      <w:pPr>
        <w:ind w:firstLine="420"/>
      </w:pPr>
      <w:r>
        <w:t>这一发现回应了引言提出的核心理论问题：</w:t>
      </w:r>
      <w:r>
        <w:rPr>
          <w:b/>
        </w:rPr>
        <w:t>制度变量在"增长—分配"关系中究竟扮演何种角色？</w:t>
      </w:r>
      <w:r>
        <w:t>答案是，制度变量是连接增长与分配的关键中介。城乡收入差距的形成与固化源于"制度锁定"，而适当的"制度解锁"可以在保持经济增长的同时实现更公平的分配。库兹涅茨曲线之所以在一些国家和地区得到验证，在另一些国家和地区则被超越，关键差异可能就在于制度变迁的路径和速度。</w:t>
      </w:r>
    </w:p>
    <w:p>
      <w:pPr>
        <w:pStyle w:val="Heading1"/>
      </w:pPr>
      <w:r>
        <w:t>七、结论与启示：超越库兹涅茨的中国经验</w:t>
      </w:r>
    </w:p>
    <w:p>
      <w:pPr>
        <w:pStyle w:val="Heading2"/>
      </w:pPr>
      <w:r>
        <w:t>（一）研究发现的系统总结</w:t>
      </w:r>
    </w:p>
    <w:p>
      <w:pPr>
        <w:ind w:firstLine="420"/>
      </w:pPr>
      <w:r>
        <w:t>本文将共同富裕置于制度变迁的理论视野中加以审视，以浙江共同富裕示范区建设为准自然实验，运用合成控制法评估制度创新对城乡收入差距的因果效应。研究得出以下主要发现：</w:t>
      </w:r>
    </w:p>
    <w:p>
      <w:r>
        <w:rPr>
          <w:b/>
        </w:rPr>
        <w:t>关于政策效应（回应研究问题一）：</w:t>
      </w:r>
      <w:r>
        <w:t>共同富裕示范区建设显著缩小了城乡收入差距。政策实施后，浙江省城乡收入比平均下降0.125，相对降幅达5.73%。如果浙江没有成为示范区，其2024年城乡收入比将维持在1.96左右，而实际上已降至1.82。空间安慰剂检验的p值接近零，表明这一效应具有高度的统计显著性。留一交叉验证、时间安慰剂检验、替代结果变量检验、敏感性分析等多重稳健性检验，均支持这一核心结论。</w:t>
      </w:r>
    </w:p>
    <w:p>
      <w:r>
        <w:rPr>
          <w:b/>
        </w:rPr>
        <w:t>关于动态演变（回应研究问题二）：</w:t>
      </w:r>
      <w:r>
        <w:t>政策效应呈现随时间递增的累积特征。效应从2021年的-0.110逐年递增至2024年的-0.140，年均增幅约10%，四年累计效应达-0.500。这一持续增强的动态特征，与制度变迁的一般规律相符——新制度的建立需要过程，行为主体对新制度的适应需要学习，制度红利的释放需要积累。</w:t>
      </w:r>
    </w:p>
    <w:p>
      <w:r>
        <w:rPr>
          <w:b/>
        </w:rPr>
        <w:t>关于作用机制（回应研究问题三）：</w:t>
      </w:r>
      <w:r>
        <w:t>制度创新通过三条相互交织的路径缩小城乡差距。要素流动路径打破了"半城镇化"困局，使城乡劳动力市场趋于一体化；收入分配路径构建了三次分配协调配套的制度体系，矫正了市场失灵导致的分配扭曲；能力发展路径推进了基本公共服务均等化，增强了农村居民的可行能力。三条路径相互交织、相互强化，产生了制度变迁的"乘数效应"。</w:t>
      </w:r>
    </w:p>
    <w:p>
      <w:pPr>
        <w:pStyle w:val="Heading2"/>
      </w:pPr>
      <w:r>
        <w:t>（二）理论贡献：对"增长—分配"关系的新认知</w:t>
      </w:r>
    </w:p>
    <w:p>
      <w:pPr>
        <w:ind w:firstLine="420"/>
      </w:pPr>
      <w:r>
        <w:t>本文的理论贡献，在于深化了对"增长—分配"关系的认知，为超越库兹涅茨曲线的路径依赖提供了中国经验。</w:t>
      </w:r>
    </w:p>
    <w:p>
      <w:pPr>
        <w:ind w:firstLine="420"/>
      </w:pPr>
      <w:r>
        <w:t>引言提出了一个根本性的理论问题：制度变量在"增长—分配"关系中究竟扮演何种角色？库兹涅茨曲线假说认为，收入不平等是经济发展特定阶段的必然产物，随着经济增长自动弥合。这一假说隐含了两个前提：一是收入差距主要由市场力量决定，二是市场力量最终会导向均衡。但本文的研究表明，这两个前提在中国的情境下都不成立。</w:t>
      </w:r>
    </w:p>
    <w:p>
      <w:pPr>
        <w:ind w:firstLine="420"/>
      </w:pPr>
      <w:r>
        <w:t>中国的城乡收入差距，本质上不是市场经济的自然产物，而是特定制度安排的结果。户籍制度、土地制度和公共服务供给制度，共同构筑了城乡要素流动的制度壁垒，阻断了刘易斯模型预测的"城乡收入趋同"过程。这就意味着，单纯依靠市场力量，城乡差距不会自动弥合，甚至可能进一步固化。</w:t>
      </w:r>
    </w:p>
    <w:p>
      <w:pPr>
        <w:ind w:firstLine="420"/>
      </w:pPr>
      <w:r>
        <w:t>正是在这个意义上，制度变量成为连接增长与分配的关键中介。</w:t>
      </w:r>
      <w:r>
        <w:rPr>
          <w:b/>
        </w:rPr>
        <w:t>适当的制度安排可以打破城乡二元结构的锁定效应，在保持经济增长的同时实现更公平的分配，从而超越库兹涅茨路径。</w:t>
      </w:r>
      <w:r>
        <w:t>浙江共同富裕示范区的经验表明，这种"制度解锁"是可能的，但需要系统性的制度变迁，而非边际性的政策调整。</w:t>
      </w:r>
    </w:p>
    <w:p>
      <w:pPr>
        <w:ind w:firstLine="420"/>
      </w:pPr>
      <w:r>
        <w:t>这一发现对发展经济学具有重要的理论意涵。它表明，库兹涅茨曲线不是一条宿命般的铁律，而是一条可以通过制度创新来超越的路径。对于仍处于城乡二元结构中的发展中国家而言，中国的经验提供了一条兼顾效率与公平的替代道路——关键不在于等待经济增长自动消除不平等，而在于主动推进制度变迁，打破阻碍要素流动和收入趋同的制度壁垒。</w:t>
      </w:r>
    </w:p>
    <w:p>
      <w:pPr>
        <w:pStyle w:val="Heading2"/>
      </w:pPr>
      <w:r>
        <w:t>（三）方法论贡献：合成控制法的中国应用</w:t>
      </w:r>
    </w:p>
    <w:p>
      <w:pPr>
        <w:ind w:firstLine="420"/>
      </w:pPr>
      <w:r>
        <w:t>本文还做出了方法论上的贡献。合成控制法虽然在国际学术界已广泛应用，但在中国共同富裕和收入分配研究中的应用仍相对有限。本文系统展示了如何将合成控制法应用于省级政策评估，包括：如何构建高质量的合成控制组，如何进行平衡性检验和统计推断，如何设计和实施稳健性检验。这些方法论的探索，为后续研究提供了可资借鉴的范式。</w:t>
      </w:r>
    </w:p>
    <w:p>
      <w:pPr>
        <w:ind w:firstLine="420"/>
      </w:pPr>
      <w:r>
        <w:t>特别值得强调的是，本文充分发挥了合成控制法在透明性和可复制性方面的优势。第四部分报告了合成控制组的权重结构和预测变量平衡性，使读者能够清楚地了解"合成浙江"是如何构建的；第五部分系统运用了合成控制法的配套检验工具，使研究结论经受住了多重稳健性检验的考验。正如Abadie（2021）所强调的，这种透明性是合成控制法区别于其他因果推断方法的重要特征，也是其在政策评估中获得广泛认可的关键原因。</w:t>
      </w:r>
    </w:p>
    <w:p>
      <w:pPr>
        <w:pStyle w:val="Heading2"/>
      </w:pPr>
      <w:r>
        <w:t>（四）政策启示：共同富裕的制度路径</w:t>
      </w:r>
    </w:p>
    <w:p>
      <w:pPr>
        <w:ind w:firstLine="420"/>
      </w:pPr>
      <w:r>
        <w:t>研究结论蕴含若干政策启示，可以概括为"一个核心、三个要点"。</w:t>
      </w:r>
    </w:p>
    <w:p>
      <w:pPr>
        <w:ind w:firstLine="420"/>
      </w:pPr>
      <w:r/>
      <w:r>
        <w:rPr>
          <w:b/>
        </w:rPr>
        <w:t>核心启示：共同富裕的实现需要系统性的制度变迁，而非单一政策的渐进调整。</w:t>
      </w:r>
      <w:r>
        <w:t>本文的理论分析表明，城乡收入差距源于户籍制度、土地制度、公共服务供给制度的制度锁定，三类制度相互交织、彼此强化。实证结果显示，要素流动、收入分配、公共服务三条机制路径协同作用，才能产生实质性效果。这意味着，推进共同富裕必须统筹推进多领域的制度改革，形成制度变迁的合力。单一领域的改革，如仅仅调整户籍政策而不改革土地制度和公共服务供给制度，难以撼动"制度锁定"的整体框架。</w:t>
      </w:r>
    </w:p>
    <w:p>
      <w:pPr>
        <w:ind w:firstLine="420"/>
      </w:pPr>
      <w:r/>
      <w:r>
        <w:rPr>
          <w:b/>
        </w:rPr>
        <w:t>要点一：政策设计应保持战略定力，给予制度变迁充足的时间窗口。</w:t>
      </w:r>
      <w:r>
        <w:t>本文发现，政策效应呈现随时间递增的累积特征，2024年的效应（-0.140）显著大于2021年（-0.110）。这一发现提示我们，制度变迁的红利需要时间来充分释放。新制度的建立是一个渐进过程，行为主体对新制度的适应需要学习，制度红利的累积需要耐心。因此，不能期望制度创新立竿见影，应给予足够的时间让制度红利充分释放，避免因短期效果不彰而频繁调整政策方向。</w:t>
      </w:r>
    </w:p>
    <w:p>
      <w:pPr>
        <w:ind w:firstLine="420"/>
      </w:pPr>
      <w:r/>
      <w:r>
        <w:rPr>
          <w:b/>
        </w:rPr>
        <w:t>要点二：浙江经验具有可复制性，但推广应因地制宜。</w:t>
      </w:r>
      <w:r>
        <w:t>浙江在要素流动、收入分配、公共服务三个领域的制度变迁经验，其内在逻辑具有普遍适用性——打破制度锁定、促进要素流动、优化收入分配、提升可行能力。但不同地区的经济基础、资源禀赋、制度环境存在差异。中西部地区城乡差距更大、改革难度更高，东部其他地区情况各异。推进共同富裕不能简单复制浙江模式，需要结合地方实际探索差异化路径。浙江经验的真正价值，不在于提供一套可以直接套用的政策菜单，而在于揭示了"制度变迁驱动共同富裕"的一般逻辑。</w:t>
      </w:r>
    </w:p>
    <w:p>
      <w:pPr>
        <w:ind w:firstLine="420"/>
      </w:pPr>
      <w:r/>
      <w:r>
        <w:rPr>
          <w:b/>
        </w:rPr>
        <w:t>要点三：建立政策效果的动态评估机制。</w:t>
      </w:r>
      <w:r>
        <w:t>本文运用合成控制法对政策效应进行了系统评估，为政策调整提供了实证依据。这一做法值得在更广泛的政策领域推广。共同富裕是一项长期任务，需要建立常态化的政策效果评估机制，及时发现问题、总结经验、调整策略。合成控制法等现代因果推断方法，为这种评估提供了科学工具。</w:t>
      </w:r>
    </w:p>
    <w:p>
      <w:pPr>
        <w:pStyle w:val="Heading2"/>
      </w:pPr>
      <w:r>
        <w:t>（五）研究局限与未来展望</w:t>
      </w:r>
    </w:p>
    <w:p>
      <w:pPr>
        <w:ind w:firstLine="420"/>
      </w:pPr>
      <w:r>
        <w:t>本文存在若干局限，有待后续研究突破。</w:t>
      </w:r>
    </w:p>
    <w:p>
      <w:r>
        <w:rPr>
          <w:b/>
        </w:rPr>
        <w:t>时间维度的局限：</w:t>
      </w:r>
      <w:r>
        <w:t>尽管本文已将样本期扩展至2024年（政策实施4年），但长期效应仍需持续跟踪。制度变迁的效应往往需要更长时间才能充分显现，特别是能力发展路径的效应——教育投资对人力资本的影响可能需要一代人的时间才能完全体现。未来研究应持续跟踪浙江示范区建设的长期效应，评估制度变迁红利的释放轨迹。</w:t>
      </w:r>
    </w:p>
    <w:p>
      <w:r>
        <w:rPr>
          <w:b/>
        </w:rPr>
        <w:t>测度维度的局限：</w:t>
      </w:r>
      <w:r>
        <w:t>本文主要关注城乡收入差距这一物质维度，未能涵盖共同富裕的精神文化、生态环境、社会和谐等维度。刘培林等（2021）指出，共同富裕是一个多维度的概念，物质富裕只是其中一个方面。未来研究可以构建多维度的共同富裕指标体系，进行更加综合的评估。</w:t>
      </w:r>
    </w:p>
    <w:p>
      <w:r>
        <w:rPr>
          <w:b/>
        </w:rPr>
        <w:t>机制检验的局限：</w:t>
      </w:r>
      <w:r>
        <w:t>机制分析主要基于政策梳理和理论推演，缺乏微观数据的直接检验。未来研究可以结合微观调查数据（如中国家庭追踪调查CFPS、中国综合社会调查CGSS等），检验政策对不同群体的异质性影响，运用中介效应模型实证识别三条机制路径的相对贡献。</w:t>
      </w:r>
    </w:p>
    <w:p>
      <w:r>
        <w:rPr>
          <w:b/>
        </w:rPr>
        <w:t>比较视角的局限：</w:t>
      </w:r>
      <w:r>
        <w:t>本文聚焦于浙江单一案例，未能与其他省份的共同富裕实践进行比较。未来研究可以开展跨省比较研究，揭示共同富裕实现路径的地区差异，探索不同地区"制度解锁"的多元模式。</w:t>
      </w:r>
    </w:p>
    <w:p>
      <w:pPr>
        <w:ind w:firstLine="420"/>
      </w:pPr>
      <w:r>
        <w:t>尽管存在这些局限，本文的核心发现——</w:t>
      </w:r>
      <w:r>
        <w:rPr>
          <w:b/>
        </w:rPr>
        <w:t>制度变迁能够驱动共同富裕，打破城乡二元结构的制度锁定</w:t>
      </w:r>
      <w:r>
        <w:t>——对于理解中国的收入分配格局和设计共同富裕政策，仍具有重要的参考价值。这也是对引言所提"世纪之问"的一个初步回答：增长与分配并非不可调和的矛盾，制度创新为超越库兹涅茨曲线提供了可能的路径。浙江共同富裕示范区的实践，正是这一路径的生动注脚。</w:t>
      </w:r>
    </w:p>
    <w:p>
      <w:pPr>
        <w:pStyle w:val="Heading1"/>
      </w:pPr>
      <w:r>
        <w:t>参考文献</w:t>
      </w:r>
    </w:p>
    <w:p>
      <w:pPr>
        <w:ind w:firstLine="420"/>
      </w:pPr>
      <w:r>
        <w:t>Abadie, A., &amp; Gardeazabal, J. (2003). The Economic Costs of Conflict: A Case Study of the Basque Country. *American Economic Review*, 93(1), 113-132.</w:t>
      </w:r>
    </w:p>
    <w:p>
      <w:pPr>
        <w:ind w:firstLine="420"/>
      </w:pPr>
      <w:r>
        <w:t>Abadie, A., Diamond, A., &amp; Hainmueller, J. (2010). Synthetic Control Methods for Comparative Case Studies: Estimating the Effect of California's Tobacco Control Program. *Journal of the American Statistical Association*, 105(490), 493-505.</w:t>
      </w:r>
    </w:p>
    <w:p>
      <w:pPr>
        <w:ind w:firstLine="420"/>
      </w:pPr>
      <w:r>
        <w:t>Abadie, A., Diamond, A., &amp; Hainmueller, J. (2015). Comparative Politics and the Synthetic Control Method. *American Journal of Political Science*, 59(2), 495-510.</w:t>
      </w:r>
    </w:p>
    <w:p>
      <w:pPr>
        <w:ind w:firstLine="420"/>
      </w:pPr>
      <w:r>
        <w:t>Abadie, A. (2021). Using Synthetic Controls: Feasibility, Data Requirements, and Methodological Aspects. *Journal of Economic Literature*, 59(2), 391-425.</w:t>
      </w:r>
    </w:p>
    <w:p>
      <w:pPr>
        <w:ind w:firstLine="420"/>
      </w:pPr>
      <w:r>
        <w:t>Holland, P. W. (1986). Statistics and Causal Inference. *Journal of the American Statistical Association*, 81(396), 945-960.</w:t>
      </w:r>
    </w:p>
    <w:p>
      <w:pPr>
        <w:ind w:firstLine="420"/>
      </w:pPr>
      <w:r>
        <w:t>Kuznets, S. (1955). Economic Growth and Income Inequality. *American Economic Review*, 45(1), 1-28.</w:t>
      </w:r>
    </w:p>
    <w:p>
      <w:pPr>
        <w:ind w:firstLine="420"/>
      </w:pPr>
      <w:r>
        <w:t>Lewis, W. A. (1954). Economic Development with Unlimited Supplies of Labour. *The Manchester School*, 22(2), 139-191.</w:t>
      </w:r>
    </w:p>
    <w:p>
      <w:pPr>
        <w:ind w:firstLine="420"/>
      </w:pPr>
      <w:r>
        <w:t>North, D. C. (1990). *Institutions, Institutional Change and Economic Performance*. Cambridge University Press.</w:t>
      </w:r>
    </w:p>
    <w:p>
      <w:pPr>
        <w:ind w:firstLine="420"/>
      </w:pPr>
      <w:r>
        <w:t>Piketty, T. (2014). *Capital in the Twenty-First Century*. Harvard University Press.</w:t>
      </w:r>
    </w:p>
    <w:p>
      <w:pPr>
        <w:ind w:firstLine="420"/>
      </w:pPr>
      <w:r>
        <w:t>Sen, A. (1999). *Development as Freedom*. Oxford University Press.</w:t>
      </w:r>
    </w:p>
    <w:p>
      <w:pPr>
        <w:ind w:firstLine="420"/>
      </w:pPr>
      <w:r>
        <w:t>World Bank. (1993). *The East Asian Miracle: Economic Growth and Public Policy*. Oxford University Press.</w:t>
      </w:r>
    </w:p>
    <w:p>
      <w:pPr>
        <w:ind w:firstLine="420"/>
      </w:pPr>
      <w:r>
        <w:t>蔡昉. (2011). 中国经济发展的刘易斯转折点. 中国人口科学, (2), 2-10.</w:t>
      </w:r>
    </w:p>
    <w:p>
      <w:pPr>
        <w:ind w:firstLine="420"/>
      </w:pPr>
      <w:r>
        <w:t>陈斌开, 林毅夫. (2013). 发展战略、城市化与中国城乡收入差距. 中国社会科学, (4), 81-102.</w:t>
      </w:r>
    </w:p>
    <w:p>
      <w:pPr>
        <w:ind w:firstLine="420"/>
      </w:pPr>
      <w:r>
        <w:t>黄宇虹, 樊纲治. (2017). 农村土地制度改革与新型城镇化. 农业技术经济, (6), 52-64.</w:t>
      </w:r>
    </w:p>
    <w:p>
      <w:pPr>
        <w:ind w:firstLine="420"/>
      </w:pPr>
      <w:r>
        <w:t>刘培林, 钱滔, 黄先海, 董雪兵. (2021). 共同富裕的内涵、实现路径与测度方法. 管理世界, (8), 117-129.</w:t>
      </w:r>
    </w:p>
    <w:p>
      <w:pPr>
        <w:ind w:firstLine="420"/>
      </w:pPr>
      <w:r>
        <w:t>陆铭. (2016). *大国大城：当代中国的统一、发展与平衡*. 上海人民出版社.</w:t>
      </w:r>
    </w:p>
    <w:p>
      <w:pPr>
        <w:ind w:firstLine="420"/>
      </w:pPr>
      <w:r>
        <w:t>万广华, 江葳蕤, 赵梦雪. (2022). 城镇化的共同富裕效应. 中国农村经济, (4), 2-22.</w:t>
      </w:r>
    </w:p>
    <w:p>
      <w:pPr>
        <w:pStyle w:val="Heading1"/>
      </w:pPr>
      <w:r>
        <w:t>附录：数据来源明细</w:t>
      </w:r>
    </w:p>
    <w:p>
      <w:pPr>
        <w:pStyle w:val="Heading2"/>
      </w:pPr>
      <w:r>
        <w:t>一、浙江省核心指标数据（2010-2024）</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r>
              <w:t>年份</w:t>
            </w:r>
          </w:p>
        </w:tc>
        <w:tc>
          <w:tcPr>
            <w:tcW w:type="dxa" w:w="1729"/>
          </w:tcPr>
          <w:p>
            <w:r>
              <w:t>城乡收入比</w:t>
            </w:r>
          </w:p>
        </w:tc>
        <w:tc>
          <w:tcPr>
            <w:tcW w:type="dxa" w:w="1729"/>
          </w:tcPr>
          <w:p>
            <w:r>
              <w:t>人均GDP(元)</w:t>
            </w:r>
          </w:p>
        </w:tc>
        <w:tc>
          <w:tcPr>
            <w:tcW w:type="dxa" w:w="1729"/>
          </w:tcPr>
          <w:p>
            <w:r>
              <w:t>城镇化率(%)</w:t>
            </w:r>
          </w:p>
        </w:tc>
        <w:tc>
          <w:tcPr>
            <w:tcW w:type="dxa" w:w="1729"/>
          </w:tcPr>
          <w:p>
            <w:r>
              <w:t>数据来源</w:t>
            </w:r>
          </w:p>
        </w:tc>
      </w:tr>
      <w:tr>
        <w:tc>
          <w:tcPr>
            <w:tcW w:type="dxa" w:w="1729"/>
          </w:tcPr>
          <w:p>
            <w:r>
              <w:t>2010</w:t>
            </w:r>
          </w:p>
        </w:tc>
        <w:tc>
          <w:tcPr>
            <w:tcW w:type="dxa" w:w="1729"/>
          </w:tcPr>
          <w:p>
            <w:r>
              <w:t>2.42</w:t>
            </w:r>
          </w:p>
        </w:tc>
        <w:tc>
          <w:tcPr>
            <w:tcW w:type="dxa" w:w="1729"/>
          </w:tcPr>
          <w:p>
            <w:r>
              <w:t>51,711</w:t>
            </w:r>
          </w:p>
        </w:tc>
        <w:tc>
          <w:tcPr>
            <w:tcW w:type="dxa" w:w="1729"/>
          </w:tcPr>
          <w:p>
            <w:r>
              <w:t>61.6</w:t>
            </w:r>
          </w:p>
        </w:tc>
        <w:tc>
          <w:tcPr>
            <w:tcW w:type="dxa" w:w="1729"/>
          </w:tcPr>
          <w:p>
            <w:r>
              <w:t>《中国统计年鉴2011》</w:t>
            </w:r>
          </w:p>
        </w:tc>
      </w:tr>
      <w:tr>
        <w:tc>
          <w:tcPr>
            <w:tcW w:type="dxa" w:w="1729"/>
          </w:tcPr>
          <w:p>
            <w:r>
              <w:t>2011</w:t>
            </w:r>
          </w:p>
        </w:tc>
        <w:tc>
          <w:tcPr>
            <w:tcW w:type="dxa" w:w="1729"/>
          </w:tcPr>
          <w:p>
            <w:r>
              <w:t>2.37</w:t>
            </w:r>
          </w:p>
        </w:tc>
        <w:tc>
          <w:tcPr>
            <w:tcW w:type="dxa" w:w="1729"/>
          </w:tcPr>
          <w:p>
            <w:r>
              <w:t>59,249</w:t>
            </w:r>
          </w:p>
        </w:tc>
        <w:tc>
          <w:tcPr>
            <w:tcW w:type="dxa" w:w="1729"/>
          </w:tcPr>
          <w:p>
            <w:r>
              <w:t>62.3</w:t>
            </w:r>
          </w:p>
        </w:tc>
        <w:tc>
          <w:tcPr>
            <w:tcW w:type="dxa" w:w="1729"/>
          </w:tcPr>
          <w:p>
            <w:r>
              <w:t>《中国统计年鉴2012》</w:t>
            </w:r>
          </w:p>
        </w:tc>
      </w:tr>
      <w:tr>
        <w:tc>
          <w:tcPr>
            <w:tcW w:type="dxa" w:w="1729"/>
          </w:tcPr>
          <w:p>
            <w:r>
              <w:t>2012</w:t>
            </w:r>
          </w:p>
        </w:tc>
        <w:tc>
          <w:tcPr>
            <w:tcW w:type="dxa" w:w="1729"/>
          </w:tcPr>
          <w:p>
            <w:r>
              <w:t>2.32</w:t>
            </w:r>
          </w:p>
        </w:tc>
        <w:tc>
          <w:tcPr>
            <w:tcW w:type="dxa" w:w="1729"/>
          </w:tcPr>
          <w:p>
            <w:r>
              <w:t>63,374</w:t>
            </w:r>
          </w:p>
        </w:tc>
        <w:tc>
          <w:tcPr>
            <w:tcW w:type="dxa" w:w="1729"/>
          </w:tcPr>
          <w:p>
            <w:r>
              <w:t>63.2</w:t>
            </w:r>
          </w:p>
        </w:tc>
        <w:tc>
          <w:tcPr>
            <w:tcW w:type="dxa" w:w="1729"/>
          </w:tcPr>
          <w:p>
            <w:r>
              <w:t>《中国统计年鉴2013》</w:t>
            </w:r>
          </w:p>
        </w:tc>
      </w:tr>
      <w:tr>
        <w:tc>
          <w:tcPr>
            <w:tcW w:type="dxa" w:w="1729"/>
          </w:tcPr>
          <w:p>
            <w:r>
              <w:t>2013</w:t>
            </w:r>
          </w:p>
        </w:tc>
        <w:tc>
          <w:tcPr>
            <w:tcW w:type="dxa" w:w="1729"/>
          </w:tcPr>
          <w:p>
            <w:r>
              <w:t>2.27</w:t>
            </w:r>
          </w:p>
        </w:tc>
        <w:tc>
          <w:tcPr>
            <w:tcW w:type="dxa" w:w="1729"/>
          </w:tcPr>
          <w:p>
            <w:r>
              <w:t>68,462</w:t>
            </w:r>
          </w:p>
        </w:tc>
        <w:tc>
          <w:tcPr>
            <w:tcW w:type="dxa" w:w="1729"/>
          </w:tcPr>
          <w:p>
            <w:r>
              <w:t>64.0</w:t>
            </w:r>
          </w:p>
        </w:tc>
        <w:tc>
          <w:tcPr>
            <w:tcW w:type="dxa" w:w="1729"/>
          </w:tcPr>
          <w:p>
            <w:r>
              <w:t>《中国统计年鉴2014》</w:t>
            </w:r>
          </w:p>
        </w:tc>
      </w:tr>
      <w:tr>
        <w:tc>
          <w:tcPr>
            <w:tcW w:type="dxa" w:w="1729"/>
          </w:tcPr>
          <w:p>
            <w:r>
              <w:t>2014</w:t>
            </w:r>
          </w:p>
        </w:tc>
        <w:tc>
          <w:tcPr>
            <w:tcW w:type="dxa" w:w="1729"/>
          </w:tcPr>
          <w:p>
            <w:r>
              <w:t>2.22</w:t>
            </w:r>
          </w:p>
        </w:tc>
        <w:tc>
          <w:tcPr>
            <w:tcW w:type="dxa" w:w="1729"/>
          </w:tcPr>
          <w:p>
            <w:r>
              <w:t>73,002</w:t>
            </w:r>
          </w:p>
        </w:tc>
        <w:tc>
          <w:tcPr>
            <w:tcW w:type="dxa" w:w="1729"/>
          </w:tcPr>
          <w:p>
            <w:r>
              <w:t>64.9</w:t>
            </w:r>
          </w:p>
        </w:tc>
        <w:tc>
          <w:tcPr>
            <w:tcW w:type="dxa" w:w="1729"/>
          </w:tcPr>
          <w:p>
            <w:r>
              <w:t>《中国统计年鉴2015》</w:t>
            </w:r>
          </w:p>
        </w:tc>
      </w:tr>
      <w:tr>
        <w:tc>
          <w:tcPr>
            <w:tcW w:type="dxa" w:w="1729"/>
          </w:tcPr>
          <w:p>
            <w:r>
              <w:t>2015</w:t>
            </w:r>
          </w:p>
        </w:tc>
        <w:tc>
          <w:tcPr>
            <w:tcW w:type="dxa" w:w="1729"/>
          </w:tcPr>
          <w:p>
            <w:r>
              <w:t>2.16</w:t>
            </w:r>
          </w:p>
        </w:tc>
        <w:tc>
          <w:tcPr>
            <w:tcW w:type="dxa" w:w="1729"/>
          </w:tcPr>
          <w:p>
            <w:r>
              <w:t>77,644</w:t>
            </w:r>
          </w:p>
        </w:tc>
        <w:tc>
          <w:tcPr>
            <w:tcW w:type="dxa" w:w="1729"/>
          </w:tcPr>
          <w:p>
            <w:r>
              <w:t>65.8</w:t>
            </w:r>
          </w:p>
        </w:tc>
        <w:tc>
          <w:tcPr>
            <w:tcW w:type="dxa" w:w="1729"/>
          </w:tcPr>
          <w:p>
            <w:r>
              <w:t>《中国统计年鉴2016》</w:t>
            </w:r>
          </w:p>
        </w:tc>
      </w:tr>
      <w:tr>
        <w:tc>
          <w:tcPr>
            <w:tcW w:type="dxa" w:w="1729"/>
          </w:tcPr>
          <w:p>
            <w:r>
              <w:t>2016</w:t>
            </w:r>
          </w:p>
        </w:tc>
        <w:tc>
          <w:tcPr>
            <w:tcW w:type="dxa" w:w="1729"/>
          </w:tcPr>
          <w:p>
            <w:r>
              <w:t>2.11</w:t>
            </w:r>
          </w:p>
        </w:tc>
        <w:tc>
          <w:tcPr>
            <w:tcW w:type="dxa" w:w="1729"/>
          </w:tcPr>
          <w:p>
            <w:r>
              <w:t>83,923</w:t>
            </w:r>
          </w:p>
        </w:tc>
        <w:tc>
          <w:tcPr>
            <w:tcW w:type="dxa" w:w="1729"/>
          </w:tcPr>
          <w:p>
            <w:r>
              <w:t>67.0</w:t>
            </w:r>
          </w:p>
        </w:tc>
        <w:tc>
          <w:tcPr>
            <w:tcW w:type="dxa" w:w="1729"/>
          </w:tcPr>
          <w:p>
            <w:r>
              <w:t>《中国统计年鉴2017》</w:t>
            </w:r>
          </w:p>
        </w:tc>
      </w:tr>
      <w:tr>
        <w:tc>
          <w:tcPr>
            <w:tcW w:type="dxa" w:w="1729"/>
          </w:tcPr>
          <w:p>
            <w:r>
              <w:t>2017</w:t>
            </w:r>
          </w:p>
        </w:tc>
        <w:tc>
          <w:tcPr>
            <w:tcW w:type="dxa" w:w="1729"/>
          </w:tcPr>
          <w:p>
            <w:r>
              <w:t>2.06</w:t>
            </w:r>
          </w:p>
        </w:tc>
        <w:tc>
          <w:tcPr>
            <w:tcW w:type="dxa" w:w="1729"/>
          </w:tcPr>
          <w:p>
            <w:r>
              <w:t>92,057</w:t>
            </w:r>
          </w:p>
        </w:tc>
        <w:tc>
          <w:tcPr>
            <w:tcW w:type="dxa" w:w="1729"/>
          </w:tcPr>
          <w:p>
            <w:r>
              <w:t>68.0</w:t>
            </w:r>
          </w:p>
        </w:tc>
        <w:tc>
          <w:tcPr>
            <w:tcW w:type="dxa" w:w="1729"/>
          </w:tcPr>
          <w:p>
            <w:r>
              <w:t>《中国统计年鉴2018》</w:t>
            </w:r>
          </w:p>
        </w:tc>
      </w:tr>
      <w:tr>
        <w:tc>
          <w:tcPr>
            <w:tcW w:type="dxa" w:w="1729"/>
          </w:tcPr>
          <w:p>
            <w:r>
              <w:t>2018</w:t>
            </w:r>
          </w:p>
        </w:tc>
        <w:tc>
          <w:tcPr>
            <w:tcW w:type="dxa" w:w="1729"/>
          </w:tcPr>
          <w:p>
            <w:r>
              <w:t>2.03</w:t>
            </w:r>
          </w:p>
        </w:tc>
        <w:tc>
          <w:tcPr>
            <w:tcW w:type="dxa" w:w="1729"/>
          </w:tcPr>
          <w:p>
            <w:r>
              <w:t>98,643</w:t>
            </w:r>
          </w:p>
        </w:tc>
        <w:tc>
          <w:tcPr>
            <w:tcW w:type="dxa" w:w="1729"/>
          </w:tcPr>
          <w:p>
            <w:r>
              <w:t>68.9</w:t>
            </w:r>
          </w:p>
        </w:tc>
        <w:tc>
          <w:tcPr>
            <w:tcW w:type="dxa" w:w="1729"/>
          </w:tcPr>
          <w:p>
            <w:r>
              <w:t>《中国统计年鉴2019》</w:t>
            </w:r>
          </w:p>
        </w:tc>
      </w:tr>
      <w:tr>
        <w:tc>
          <w:tcPr>
            <w:tcW w:type="dxa" w:w="1729"/>
          </w:tcPr>
          <w:p>
            <w:r>
              <w:t>2019</w:t>
            </w:r>
          </w:p>
        </w:tc>
        <w:tc>
          <w:tcPr>
            <w:tcW w:type="dxa" w:w="1729"/>
          </w:tcPr>
          <w:p>
            <w:r>
              <w:t>2.00</w:t>
            </w:r>
          </w:p>
        </w:tc>
        <w:tc>
          <w:tcPr>
            <w:tcW w:type="dxa" w:w="1729"/>
          </w:tcPr>
          <w:p>
            <w:r>
              <w:t>107,624</w:t>
            </w:r>
          </w:p>
        </w:tc>
        <w:tc>
          <w:tcPr>
            <w:tcW w:type="dxa" w:w="1729"/>
          </w:tcPr>
          <w:p>
            <w:r>
              <w:t>70.0</w:t>
            </w:r>
          </w:p>
        </w:tc>
        <w:tc>
          <w:tcPr>
            <w:tcW w:type="dxa" w:w="1729"/>
          </w:tcPr>
          <w:p>
            <w:r>
              <w:t>《中国统计年鉴2020》</w:t>
            </w:r>
          </w:p>
        </w:tc>
      </w:tr>
      <w:tr>
        <w:tc>
          <w:tcPr>
            <w:tcW w:type="dxa" w:w="1729"/>
          </w:tcPr>
          <w:p>
            <w:r>
              <w:t>2020</w:t>
            </w:r>
          </w:p>
        </w:tc>
        <w:tc>
          <w:tcPr>
            <w:tcW w:type="dxa" w:w="1729"/>
          </w:tcPr>
          <w:p>
            <w:r>
              <w:t>1.96</w:t>
            </w:r>
          </w:p>
        </w:tc>
        <w:tc>
          <w:tcPr>
            <w:tcW w:type="dxa" w:w="1729"/>
          </w:tcPr>
          <w:p>
            <w:r>
              <w:t>100,620</w:t>
            </w:r>
          </w:p>
        </w:tc>
        <w:tc>
          <w:tcPr>
            <w:tcW w:type="dxa" w:w="1729"/>
          </w:tcPr>
          <w:p>
            <w:r>
              <w:t>72.2</w:t>
            </w:r>
          </w:p>
        </w:tc>
        <w:tc>
          <w:tcPr>
            <w:tcW w:type="dxa" w:w="1729"/>
          </w:tcPr>
          <w:p>
            <w:r>
              <w:t>《中国统计年鉴2021》</w:t>
            </w:r>
          </w:p>
        </w:tc>
      </w:tr>
      <w:tr>
        <w:tc>
          <w:tcPr>
            <w:tcW w:type="dxa" w:w="1729"/>
          </w:tcPr>
          <w:p>
            <w:r>
              <w:t>2021</w:t>
            </w:r>
          </w:p>
        </w:tc>
        <w:tc>
          <w:tcPr>
            <w:tcW w:type="dxa" w:w="1729"/>
          </w:tcPr>
          <w:p>
            <w:r>
              <w:t>1.94</w:t>
            </w:r>
          </w:p>
        </w:tc>
        <w:tc>
          <w:tcPr>
            <w:tcW w:type="dxa" w:w="1729"/>
          </w:tcPr>
          <w:p>
            <w:r>
              <w:t>113,859</w:t>
            </w:r>
          </w:p>
        </w:tc>
        <w:tc>
          <w:tcPr>
            <w:tcW w:type="dxa" w:w="1729"/>
          </w:tcPr>
          <w:p>
            <w:r>
              <w:t>72.7</w:t>
            </w:r>
          </w:p>
        </w:tc>
        <w:tc>
          <w:tcPr>
            <w:tcW w:type="dxa" w:w="1729"/>
          </w:tcPr>
          <w:p>
            <w:r>
              <w:t>《中国统计年鉴2022》</w:t>
            </w:r>
          </w:p>
        </w:tc>
      </w:tr>
      <w:tr>
        <w:tc>
          <w:tcPr>
            <w:tcW w:type="dxa" w:w="1729"/>
          </w:tcPr>
          <w:p>
            <w:r>
              <w:t>2022</w:t>
            </w:r>
          </w:p>
        </w:tc>
        <w:tc>
          <w:tcPr>
            <w:tcW w:type="dxa" w:w="1729"/>
          </w:tcPr>
          <w:p>
            <w:r>
              <w:t>1.90</w:t>
            </w:r>
          </w:p>
        </w:tc>
        <w:tc>
          <w:tcPr>
            <w:tcW w:type="dxa" w:w="1729"/>
          </w:tcPr>
          <w:p>
            <w:r>
              <w:t>118,496</w:t>
            </w:r>
          </w:p>
        </w:tc>
        <w:tc>
          <w:tcPr>
            <w:tcW w:type="dxa" w:w="1729"/>
          </w:tcPr>
          <w:p>
            <w:r>
              <w:t>73.4</w:t>
            </w:r>
          </w:p>
        </w:tc>
        <w:tc>
          <w:tcPr>
            <w:tcW w:type="dxa" w:w="1729"/>
          </w:tcPr>
          <w:p>
            <w:r>
              <w:t>《中国统计年鉴2023》</w:t>
            </w:r>
          </w:p>
        </w:tc>
      </w:tr>
      <w:tr>
        <w:tc>
          <w:tcPr>
            <w:tcW w:type="dxa" w:w="1729"/>
          </w:tcPr>
          <w:p>
            <w:r>
              <w:t>2023</w:t>
            </w:r>
          </w:p>
        </w:tc>
        <w:tc>
          <w:tcPr>
            <w:tcW w:type="dxa" w:w="1729"/>
          </w:tcPr>
          <w:p>
            <w:r>
              <w:t>1.86</w:t>
            </w:r>
          </w:p>
        </w:tc>
        <w:tc>
          <w:tcPr>
            <w:tcW w:type="dxa" w:w="1729"/>
          </w:tcPr>
          <w:p>
            <w:r>
              <w:t>124,472</w:t>
            </w:r>
          </w:p>
        </w:tc>
        <w:tc>
          <w:tcPr>
            <w:tcW w:type="dxa" w:w="1729"/>
          </w:tcPr>
          <w:p>
            <w:r>
              <w:t>74.2</w:t>
            </w:r>
          </w:p>
        </w:tc>
        <w:tc>
          <w:tcPr>
            <w:tcW w:type="dxa" w:w="1729"/>
          </w:tcPr>
          <w:p>
            <w:r>
              <w:t>《中国统计年鉴2024》</w:t>
            </w:r>
          </w:p>
        </w:tc>
      </w:tr>
      <w:tr>
        <w:tc>
          <w:tcPr>
            <w:tcW w:type="dxa" w:w="1729"/>
          </w:tcPr>
          <w:p>
            <w:r>
              <w:t>2024</w:t>
            </w:r>
          </w:p>
        </w:tc>
        <w:tc>
          <w:tcPr>
            <w:tcW w:type="dxa" w:w="1729"/>
          </w:tcPr>
          <w:p>
            <w:r>
              <w:t>1.82</w:t>
            </w:r>
          </w:p>
        </w:tc>
        <w:tc>
          <w:tcPr>
            <w:tcW w:type="dxa" w:w="1729"/>
          </w:tcPr>
          <w:p>
            <w:r>
              <w:t>131,642</w:t>
            </w:r>
          </w:p>
        </w:tc>
        <w:tc>
          <w:tcPr>
            <w:tcW w:type="dxa" w:w="1729"/>
          </w:tcPr>
          <w:p>
            <w:r>
              <w:t>74.8</w:t>
            </w:r>
          </w:p>
        </w:tc>
        <w:tc>
          <w:tcPr>
            <w:tcW w:type="dxa" w:w="1729"/>
          </w:tcPr>
          <w:p>
            <w:r>
              <w:t>《2024年浙江省统计公报》</w:t>
            </w:r>
          </w:p>
        </w:tc>
      </w:tr>
    </w:tbl>
    <w:p/>
    <w:p>
      <w:pPr>
        <w:ind w:firstLine="420"/>
      </w:pPr>
      <w:r>
        <w:t>注：城乡收入比 = 城镇居民人均可支配收入 ÷ 农村居民人均可支配收入</w:t>
      </w:r>
    </w:p>
    <w:p>
      <w:pPr>
        <w:pStyle w:val="Heading2"/>
      </w:pPr>
      <w:r>
        <w:t>二、主要控制省份2024年数据来源</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r>
              <w:t>省份</w:t>
            </w:r>
          </w:p>
        </w:tc>
        <w:tc>
          <w:tcPr>
            <w:tcW w:type="dxa" w:w="1729"/>
          </w:tcPr>
          <w:p>
            <w:r>
              <w:t>城镇居民收入(元)</w:t>
            </w:r>
          </w:p>
        </w:tc>
        <w:tc>
          <w:tcPr>
            <w:tcW w:type="dxa" w:w="1729"/>
          </w:tcPr>
          <w:p>
            <w:r>
              <w:t>农村居民收入(元)</w:t>
            </w:r>
          </w:p>
        </w:tc>
        <w:tc>
          <w:tcPr>
            <w:tcW w:type="dxa" w:w="1729"/>
          </w:tcPr>
          <w:p>
            <w:r>
              <w:t>城乡收入比</w:t>
            </w:r>
          </w:p>
        </w:tc>
        <w:tc>
          <w:tcPr>
            <w:tcW w:type="dxa" w:w="1729"/>
          </w:tcPr>
          <w:p>
            <w:r>
              <w:t>数据来源</w:t>
            </w:r>
          </w:p>
        </w:tc>
      </w:tr>
      <w:tr>
        <w:tc>
          <w:tcPr>
            <w:tcW w:type="dxa" w:w="1729"/>
          </w:tcPr>
          <w:p>
            <w:r>
              <w:t>江苏</w:t>
            </w:r>
          </w:p>
        </w:tc>
        <w:tc>
          <w:tcPr>
            <w:tcW w:type="dxa" w:w="1729"/>
          </w:tcPr>
          <w:p>
            <w:r>
              <w:t>63,211</w:t>
            </w:r>
          </w:p>
        </w:tc>
        <w:tc>
          <w:tcPr>
            <w:tcW w:type="dxa" w:w="1729"/>
          </w:tcPr>
          <w:p>
            <w:r>
              <w:t>31,048</w:t>
            </w:r>
          </w:p>
        </w:tc>
        <w:tc>
          <w:tcPr>
            <w:tcW w:type="dxa" w:w="1729"/>
          </w:tcPr>
          <w:p>
            <w:r>
              <w:t>2.04</w:t>
            </w:r>
          </w:p>
        </w:tc>
        <w:tc>
          <w:tcPr>
            <w:tcW w:type="dxa" w:w="1729"/>
          </w:tcPr>
          <w:p>
            <w:r>
              <w:t>《2024年江苏省统计公报》</w:t>
            </w:r>
          </w:p>
        </w:tc>
      </w:tr>
      <w:tr>
        <w:tc>
          <w:tcPr>
            <w:tcW w:type="dxa" w:w="1729"/>
          </w:tcPr>
          <w:p>
            <w:r>
              <w:t>广东</w:t>
            </w:r>
          </w:p>
        </w:tc>
        <w:tc>
          <w:tcPr>
            <w:tcW w:type="dxa" w:w="1729"/>
          </w:tcPr>
          <w:p>
            <w:r>
              <w:t>59,307</w:t>
            </w:r>
          </w:p>
        </w:tc>
        <w:tc>
          <w:tcPr>
            <w:tcW w:type="dxa" w:w="1729"/>
          </w:tcPr>
          <w:p>
            <w:r>
              <w:t>25,548</w:t>
            </w:r>
          </w:p>
        </w:tc>
        <w:tc>
          <w:tcPr>
            <w:tcW w:type="dxa" w:w="1729"/>
          </w:tcPr>
          <w:p>
            <w:r>
              <w:t>2.32</w:t>
            </w:r>
          </w:p>
        </w:tc>
        <w:tc>
          <w:tcPr>
            <w:tcW w:type="dxa" w:w="1729"/>
          </w:tcPr>
          <w:p>
            <w:r>
              <w:t>《2024年广东省统计公报》</w:t>
            </w:r>
          </w:p>
        </w:tc>
      </w:tr>
      <w:tr>
        <w:tc>
          <w:tcPr>
            <w:tcW w:type="dxa" w:w="1729"/>
          </w:tcPr>
          <w:p>
            <w:r>
              <w:t>海南</w:t>
            </w:r>
          </w:p>
        </w:tc>
        <w:tc>
          <w:tcPr>
            <w:tcW w:type="dxa" w:w="1729"/>
          </w:tcPr>
          <w:p>
            <w:r>
              <w:t>44,683</w:t>
            </w:r>
          </w:p>
        </w:tc>
        <w:tc>
          <w:tcPr>
            <w:tcW w:type="dxa" w:w="1729"/>
          </w:tcPr>
          <w:p>
            <w:r>
              <w:t>22,156</w:t>
            </w:r>
          </w:p>
        </w:tc>
        <w:tc>
          <w:tcPr>
            <w:tcW w:type="dxa" w:w="1729"/>
          </w:tcPr>
          <w:p>
            <w:r>
              <w:t>2.02</w:t>
            </w:r>
          </w:p>
        </w:tc>
        <w:tc>
          <w:tcPr>
            <w:tcW w:type="dxa" w:w="1729"/>
          </w:tcPr>
          <w:p>
            <w:r>
              <w:t>《2024年海南省统计公报》</w:t>
            </w:r>
          </w:p>
        </w:tc>
      </w:tr>
      <w:tr>
        <w:tc>
          <w:tcPr>
            <w:tcW w:type="dxa" w:w="1729"/>
          </w:tcPr>
          <w:p>
            <w:r>
              <w:t>山东</w:t>
            </w:r>
          </w:p>
        </w:tc>
        <w:tc>
          <w:tcPr>
            <w:tcW w:type="dxa" w:w="1729"/>
          </w:tcPr>
          <w:p>
            <w:r>
              <w:t>54,048</w:t>
            </w:r>
          </w:p>
        </w:tc>
        <w:tc>
          <w:tcPr>
            <w:tcW w:type="dxa" w:w="1729"/>
          </w:tcPr>
          <w:p>
            <w:r>
              <w:t>24,816</w:t>
            </w:r>
          </w:p>
        </w:tc>
        <w:tc>
          <w:tcPr>
            <w:tcW w:type="dxa" w:w="1729"/>
          </w:tcPr>
          <w:p>
            <w:r>
              <w:t>2.18</w:t>
            </w:r>
          </w:p>
        </w:tc>
        <w:tc>
          <w:tcPr>
            <w:tcW w:type="dxa" w:w="1729"/>
          </w:tcPr>
          <w:p>
            <w:r>
              <w:t>《2024年山东省统计公报》</w:t>
            </w:r>
          </w:p>
        </w:tc>
      </w:tr>
      <w:tr>
        <w:tc>
          <w:tcPr>
            <w:tcW w:type="dxa" w:w="1729"/>
          </w:tcPr>
          <w:p>
            <w:r>
              <w:t>福建</w:t>
            </w:r>
          </w:p>
        </w:tc>
        <w:tc>
          <w:tcPr>
            <w:tcW w:type="dxa" w:w="1729"/>
          </w:tcPr>
          <w:p>
            <w:r>
              <w:t>56,438</w:t>
            </w:r>
          </w:p>
        </w:tc>
        <w:tc>
          <w:tcPr>
            <w:tcW w:type="dxa" w:w="1729"/>
          </w:tcPr>
          <w:p>
            <w:r>
              <w:t>27,214</w:t>
            </w:r>
          </w:p>
        </w:tc>
        <w:tc>
          <w:tcPr>
            <w:tcW w:type="dxa" w:w="1729"/>
          </w:tcPr>
          <w:p>
            <w:r>
              <w:t>2.07</w:t>
            </w:r>
          </w:p>
        </w:tc>
        <w:tc>
          <w:tcPr>
            <w:tcW w:type="dxa" w:w="1729"/>
          </w:tcPr>
          <w:p>
            <w:r>
              <w:t>《2024年福建省统计公报》</w:t>
            </w:r>
          </w:p>
        </w:tc>
      </w:tr>
      <w:tr>
        <w:tc>
          <w:tcPr>
            <w:tcW w:type="dxa" w:w="1729"/>
          </w:tcPr>
          <w:p>
            <w:r>
              <w:t>浙江</w:t>
            </w:r>
          </w:p>
        </w:tc>
        <w:tc>
          <w:tcPr>
            <w:tcW w:type="dxa" w:w="1729"/>
          </w:tcPr>
          <w:p>
            <w:r>
              <w:t>80,653</w:t>
            </w:r>
          </w:p>
        </w:tc>
        <w:tc>
          <w:tcPr>
            <w:tcW w:type="dxa" w:w="1729"/>
          </w:tcPr>
          <w:p>
            <w:r>
              <w:t>44,313</w:t>
            </w:r>
          </w:p>
        </w:tc>
        <w:tc>
          <w:tcPr>
            <w:tcW w:type="dxa" w:w="1729"/>
          </w:tcPr>
          <w:p>
            <w:r>
              <w:t>1.82</w:t>
            </w:r>
          </w:p>
        </w:tc>
        <w:tc>
          <w:tcPr>
            <w:tcW w:type="dxa" w:w="1729"/>
          </w:tcPr>
          <w:p>
            <w:r>
              <w:t>《2024年浙江省统计公报》</w:t>
            </w:r>
          </w:p>
        </w:tc>
      </w:tr>
    </w:tbl>
    <w:p/>
    <w:p>
      <w:pPr>
        <w:pStyle w:val="Heading2"/>
      </w:pPr>
      <w:r>
        <w:t>三、数据获取说明</w:t>
      </w:r>
    </w:p>
    <w:p>
      <w:pPr>
        <w:ind w:firstLine="420"/>
      </w:pPr>
      <w:r>
        <w:t xml:space="preserve">1. </w:t>
      </w:r>
      <w:r>
        <w:rPr>
          <w:b/>
        </w:rPr>
        <w:t>国家统计年鉴</w:t>
      </w:r>
      <w:r>
        <w:t>：国家统计局官网（https://data.stats.gov.cn/）</w:t>
      </w:r>
    </w:p>
    <w:p>
      <w:pPr>
        <w:ind w:firstLine="420"/>
      </w:pPr>
      <w:r>
        <w:t xml:space="preserve">2. </w:t>
      </w:r>
      <w:r>
        <w:rPr>
          <w:b/>
        </w:rPr>
        <w:t>省级统计年鉴</w:t>
      </w:r>
      <w:r>
        <w:t>：各省统计局官网</w:t>
      </w:r>
    </w:p>
    <w:p>
      <w:pPr>
        <w:ind w:firstLine="420"/>
      </w:pPr>
      <w:r>
        <w:t xml:space="preserve">3. </w:t>
      </w:r>
      <w:r>
        <w:rPr>
          <w:b/>
        </w:rPr>
        <w:t>统计公报</w:t>
      </w:r>
      <w:r>
        <w:t>：各省统计局官网发布的《XX省国民经济和社会发展统计公报》</w:t>
      </w:r>
    </w:p>
    <w:p>
      <w:pPr>
        <w:ind w:firstLine="420"/>
      </w:pPr>
      <w:r/>
      <w:r>
        <w:rPr>
          <w:b/>
        </w:rPr>
        <w:t>[全文完]</w:t>
      </w:r>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