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widowControl/>
        <w:suppressLineNumbers w:val="0"/>
        <w:spacing w:line="15" w:lineRule="atLeast"/>
      </w:pPr>
      <w:r>
        <w:t>ReDeeM protocol</w:t>
      </w:r>
    </w:p>
    <w:p>
      <w:pPr>
        <w:pStyle w:val="3"/>
        <w:keepNext w:val="0"/>
        <w:keepLines w:val="0"/>
        <w:widowControl/>
        <w:suppressLineNumbers w:val="0"/>
        <w:spacing w:line="15" w:lineRule="atLeast"/>
      </w:pPr>
      <w:r>
        <w:t>全文概述</w:t>
      </w:r>
    </w:p>
    <w:p>
      <w:pPr>
        <w:pStyle w:val="9"/>
        <w:keepNext w:val="0"/>
        <w:keepLines w:val="0"/>
        <w:widowControl/>
        <w:suppressLineNumbers w:val="0"/>
        <w:spacing w:line="15" w:lineRule="atLeast"/>
      </w:pPr>
      <w:r>
        <w:rPr>
          <w:rFonts w:ascii="Tahoma" w:hAnsi="Tahoma" w:eastAsia="Tahoma" w:cs="Tahoma"/>
          <w:color w:val="444444"/>
        </w:rPr>
        <w:t>本文介绍了一种名为ReDeeM（单细胞多组学分析协议）的方法，旨在通过联合测序技术对单个细胞进行多重组学研究，特别强调了在深测序技术下对线粒体突变和多维表型信息的精准捕捉。该方法包括四个主要步骤：样本准备、高通量测序前处理、数据预加工以及下游分析。首先，通过特定的固定、标记和裂解过程制备样品，并根据目标不同选择性地构建RNA、ATAC-seq和mitochondrial DNA（mtDNA）库。细胞质基因表达、染色质开放性和mtDNA序列信息通过相应的文库策略获取。对于某些实验设计，还提供了额外的细胞计数和标记步骤以增加数据分析时的区分度。通过详细的实验步骤和材料列表，文中确保了这一复杂过程能够被标准化和优化，以便于广泛应用于多种类型的细胞研究中。最后，文中推荐了配对端Illumina测序策略，并提到了用于数据预处理和进一步分析的软件工具及R包，这为研究人员提供了一个完整的操作框架来解析这些多维度的单细胞数据集。</w:t>
      </w:r>
    </w:p>
    <w:p>
      <w:pPr>
        <w:pStyle w:val="3"/>
        <w:keepNext w:val="0"/>
        <w:keepLines w:val="0"/>
        <w:widowControl/>
        <w:suppressLineNumbers w:val="0"/>
        <w:spacing w:line="15" w:lineRule="atLeast"/>
      </w:pPr>
      <w:r>
        <w:t>关键要点</w:t>
      </w:r>
    </w:p>
    <w:p>
      <w:pPr>
        <w:keepNext w:val="0"/>
        <w:keepLines w:val="0"/>
        <w:widowControl/>
        <w:numPr>
          <w:ilvl w:val="0"/>
          <w:numId w:val="1"/>
        </w:numPr>
        <w:suppressLineNumbers w:val="0"/>
        <w:spacing w:before="0" w:beforeAutospacing="1" w:after="0" w:afterAutospacing="1" w:line="360" w:lineRule="atLeast"/>
        <w:ind w:left="0" w:hanging="360"/>
      </w:pPr>
      <w:r>
        <w:rPr>
          <w:rFonts w:hint="default" w:ascii="Tahoma" w:hAnsi="Tahoma" w:eastAsia="Tahoma" w:cs="Tahoma"/>
          <w:color w:val="444444"/>
          <w:sz w:val="24"/>
          <w:szCs w:val="24"/>
          <w:bdr w:val="none" w:color="auto" w:sz="0" w:space="0"/>
        </w:rPr>
        <w:t>这是一份关于单细胞多组学联合分析协议的详细说明。</w:t>
      </w:r>
    </w:p>
    <w:p>
      <w:pPr>
        <w:keepNext w:val="0"/>
        <w:keepLines w:val="0"/>
        <w:widowControl/>
        <w:numPr>
          <w:ilvl w:val="0"/>
          <w:numId w:val="1"/>
        </w:numPr>
        <w:suppressLineNumbers w:val="0"/>
        <w:spacing w:before="0" w:beforeAutospacing="1" w:after="0" w:afterAutospacing="1" w:line="360" w:lineRule="atLeast"/>
        <w:ind w:left="0" w:hanging="360"/>
      </w:pPr>
      <w:r>
        <w:rPr>
          <w:rFonts w:hint="default" w:ascii="Tahoma" w:hAnsi="Tahoma" w:eastAsia="Tahoma" w:cs="Tahoma"/>
          <w:color w:val="444444"/>
          <w:sz w:val="24"/>
          <w:szCs w:val="24"/>
          <w:bdr w:val="none" w:color="auto" w:sz="0" w:space="0"/>
        </w:rPr>
        <w:t>协议包括了细胞固定和渗透化、细胞标签化、多组学库制备等步骤。</w:t>
      </w:r>
    </w:p>
    <w:p>
      <w:pPr>
        <w:keepNext w:val="0"/>
        <w:keepLines w:val="0"/>
        <w:widowControl/>
        <w:numPr>
          <w:ilvl w:val="0"/>
          <w:numId w:val="1"/>
        </w:numPr>
        <w:suppressLineNumbers w:val="0"/>
        <w:spacing w:before="0" w:beforeAutospacing="1" w:after="0" w:afterAutospacing="1" w:line="360" w:lineRule="atLeast"/>
        <w:ind w:left="0" w:hanging="360"/>
      </w:pPr>
      <w:r>
        <w:rPr>
          <w:rFonts w:hint="default" w:ascii="Tahoma" w:hAnsi="Tahoma" w:eastAsia="Tahoma" w:cs="Tahoma"/>
          <w:color w:val="444444"/>
          <w:sz w:val="24"/>
          <w:szCs w:val="24"/>
          <w:bdr w:val="none" w:color="auto" w:sz="0" w:space="0"/>
        </w:rPr>
        <w:t>协议适用于多种类型的细胞，并且可以进行mtDNA、RNA、ATAC等多种基因组学测序。</w:t>
      </w:r>
    </w:p>
    <w:p>
      <w:pPr>
        <w:keepNext w:val="0"/>
        <w:keepLines w:val="0"/>
        <w:widowControl/>
        <w:numPr>
          <w:ilvl w:val="0"/>
          <w:numId w:val="1"/>
        </w:numPr>
        <w:suppressLineNumbers w:val="0"/>
        <w:spacing w:before="0" w:beforeAutospacing="1" w:after="0" w:afterAutospacing="1" w:line="360" w:lineRule="atLeast"/>
        <w:ind w:left="0" w:hanging="360"/>
      </w:pPr>
      <w:r>
        <w:rPr>
          <w:rFonts w:hint="default" w:ascii="Tahoma" w:hAnsi="Tahoma" w:eastAsia="Tahoma" w:cs="Tahoma"/>
          <w:color w:val="444444"/>
          <w:sz w:val="24"/>
          <w:szCs w:val="24"/>
          <w:bdr w:val="none" w:color="auto" w:sz="0" w:space="0"/>
        </w:rPr>
        <w:t>协议提供了详细的材料清单、反应条件和程序流程图。</w:t>
      </w:r>
    </w:p>
    <w:p>
      <w:pPr>
        <w:keepNext w:val="0"/>
        <w:keepLines w:val="0"/>
        <w:widowControl/>
        <w:numPr>
          <w:ilvl w:val="0"/>
          <w:numId w:val="1"/>
        </w:numPr>
        <w:suppressLineNumbers w:val="0"/>
        <w:spacing w:before="0" w:beforeAutospacing="1" w:after="0" w:afterAutospacing="1" w:line="360" w:lineRule="atLeast"/>
        <w:ind w:left="0" w:hanging="360"/>
      </w:pPr>
      <w:r>
        <w:rPr>
          <w:rFonts w:hint="default" w:ascii="Tahoma" w:hAnsi="Tahoma" w:eastAsia="Tahoma" w:cs="Tahoma"/>
          <w:color w:val="444444"/>
          <w:sz w:val="24"/>
          <w:szCs w:val="24"/>
          <w:bdr w:val="none" w:color="auto" w:sz="0" w:space="0"/>
        </w:rPr>
        <w:t>数据分析使用R包进行下游分析。</w:t>
      </w:r>
    </w:p>
    <w:p>
      <w:pPr>
        <w:pStyle w:val="3"/>
        <w:keepNext w:val="0"/>
        <w:keepLines w:val="0"/>
        <w:widowControl/>
        <w:suppressLineNumbers w:val="0"/>
        <w:spacing w:line="15" w:lineRule="atLeast"/>
      </w:pPr>
      <w:r>
        <w:t>文档速读</w:t>
      </w:r>
    </w:p>
    <w:p>
      <w:pPr>
        <w:pStyle w:val="4"/>
        <w:keepNext w:val="0"/>
        <w:keepLines w:val="0"/>
        <w:widowControl/>
        <w:suppressLineNumbers w:val="0"/>
        <w:spacing w:line="15" w:lineRule="atLeast"/>
      </w:pPr>
      <w:r>
        <w:t>单细胞多组学技术ReDeeM协议及应用</w:t>
      </w:r>
    </w:p>
    <w:p>
      <w:pPr>
        <w:pStyle w:val="9"/>
        <w:keepNext w:val="0"/>
        <w:keepLines w:val="0"/>
        <w:widowControl/>
        <w:suppressLineNumbers w:val="0"/>
        <w:spacing w:line="15" w:lineRule="atLeast"/>
      </w:pPr>
      <w:r>
        <w:rPr>
          <w:rFonts w:hint="default" w:ascii="Tahoma" w:hAnsi="Tahoma" w:eastAsia="Tahoma" w:cs="Tahoma"/>
          <w:color w:val="444444"/>
        </w:rPr>
        <w:t>这一章节介绍了一种名为ReDeeM的单细胞多组学分析方法，包括mtDNA、RNA、ATAC和可选的Hashing库的联合分析。该方法已在造血干细胞和不同分化的细胞类型上进行了测试，并可能需要进一步优化用于其他组织或细胞类型的条件。该方法所需的材料和试剂清单也被列出，其中包括一些特殊的抗体和缓冲液。此外，还介绍了细胞哈希技术的步骤，以便在多个样本之间进行比较。最后，该方法将提供一组 mitochondrial DNA capture probes，这些探针将在不久的将来公布。</w:t>
      </w:r>
    </w:p>
    <w:p>
      <w:pPr>
        <w:pStyle w:val="4"/>
        <w:keepNext w:val="0"/>
        <w:keepLines w:val="0"/>
        <w:widowControl/>
        <w:suppressLineNumbers w:val="0"/>
        <w:spacing w:line="15" w:lineRule="atLeast"/>
      </w:pPr>
      <w:r>
        <w:t>优化细胞固定和渗透处理以提高mtDNA回收率的方法</w:t>
      </w:r>
    </w:p>
    <w:p>
      <w:pPr>
        <w:pStyle w:val="9"/>
        <w:keepNext w:val="0"/>
        <w:keepLines w:val="0"/>
        <w:widowControl/>
        <w:suppressLineNumbers w:val="0"/>
        <w:spacing w:line="15" w:lineRule="atLeast"/>
      </w:pPr>
      <w:r>
        <w:rPr>
          <w:rFonts w:hint="default" w:ascii="Tahoma" w:hAnsi="Tahoma" w:eastAsia="Tahoma" w:cs="Tahoma"/>
          <w:color w:val="444444"/>
        </w:rPr>
        <w:t>这一章节介绍了实验操作的步骤和方法，包括细胞的固定、渗透、裂解、基因组DNA的提取以及测序等过程。其中，作者发现降低BSA浓度可以提高mtDNA回收率，并且针对不同组织和细胞类型需要进一步优化缓冲液配方。在tagmentation过程中加入GDN能够增加mtDNA的回收率而不影响RNA和ATAC的质量。最后，作者提供了小规模试验证明了该方法的有效性。</w:t>
      </w:r>
    </w:p>
    <w:p>
      <w:pPr>
        <w:pStyle w:val="4"/>
        <w:keepNext w:val="0"/>
        <w:keepLines w:val="0"/>
        <w:widowControl/>
        <w:suppressLineNumbers w:val="0"/>
        <w:spacing w:line="15" w:lineRule="atLeast"/>
      </w:pPr>
      <w:r>
        <w:t>大规模PCR和基因捕获实验流程</w:t>
      </w:r>
    </w:p>
    <w:p>
      <w:pPr>
        <w:pStyle w:val="9"/>
        <w:keepNext w:val="0"/>
        <w:keepLines w:val="0"/>
        <w:widowControl/>
        <w:suppressLineNumbers w:val="0"/>
        <w:spacing w:line="15" w:lineRule="atLeast"/>
      </w:pPr>
      <w:r>
        <w:rPr>
          <w:rFonts w:hint="default" w:ascii="Tahoma" w:hAnsi="Tahoma" w:eastAsia="Tahoma" w:cs="Tahoma"/>
          <w:color w:val="444444"/>
        </w:rPr>
        <w:t>这一章节介绍了如何进行大规模的PCR反应，并使用SYBR Green监测反应过程。在小规模测试后，将PCR产物进行纯化和测序准备。此外，还提供了关于mtDNA捕获的方法和流程。整个过程中需要注意控制循环次数和PCR产物的质量，以便获得高质量的数据。</w:t>
      </w:r>
    </w:p>
    <w:p>
      <w:pPr>
        <w:pStyle w:val="4"/>
        <w:keepNext w:val="0"/>
        <w:keepLines w:val="0"/>
        <w:widowControl/>
        <w:suppressLineNumbers w:val="0"/>
        <w:spacing w:line="15" w:lineRule="atLeast"/>
      </w:pPr>
      <w:r>
        <w:t>RNA库制备与细胞哈希分析流程介绍</w:t>
      </w:r>
    </w:p>
    <w:p>
      <w:pPr>
        <w:pStyle w:val="9"/>
        <w:keepNext w:val="0"/>
        <w:keepLines w:val="0"/>
        <w:widowControl/>
        <w:suppressLineNumbers w:val="0"/>
        <w:spacing w:line="15" w:lineRule="atLeast"/>
      </w:pPr>
      <w:r>
        <w:rPr>
          <w:rFonts w:hint="default" w:ascii="Tahoma" w:hAnsi="Tahoma" w:eastAsia="Tahoma" w:cs="Tahoma"/>
          <w:color w:val="444444"/>
        </w:rPr>
        <w:t>这一章节介绍了如何制备RNA库和进行细胞哈希标记，并提供了相关的操作步骤和建议的测序方案。其中，RNA库的制备需要遵循10x Genomics多组学用户指南revB CG000338-Step6和Step7，并推荐使用Illumina测序技术。如果进行了细胞哈希标记，则需要使用PCR扩增并监测其qPCR曲线，通常需要进行15~20个循环。最后，数据分析可以采用ReDeeM协议中的R包ReDeeM-R进行下游分析。</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A04020102020204"/>
    <w:charset w:val="01"/>
    <w:family w:val="swiss"/>
    <w:pitch w:val="default"/>
    <w:sig w:usb0="A00002AF" w:usb1="400078FB" w:usb2="00000000" w:usb3="00000000" w:csb0="6000009F" w:csb1="DFD7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E0000AFF" w:usb1="4000247B" w:usb2="00000001" w:usb3="00000000" w:csb0="200001BF" w:csb1="00000000"/>
  </w:font>
  <w:font w:name="serif">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Consolas">
    <w:panose1 w:val="020B07090202040A0204"/>
    <w:charset w:val="00"/>
    <w:family w:val="auto"/>
    <w:pitch w:val="default"/>
    <w:sig w:usb0="E10002FF" w:usb1="4000FCFF" w:usb2="00000009" w:usb3="00000000" w:csb0="6000019F" w:csb1="DFD70000"/>
  </w:font>
  <w:font w:name="Tahoma">
    <w:panose1 w:val="020B0804030504040204"/>
    <w:charset w:val="00"/>
    <w:family w:val="auto"/>
    <w:pitch w:val="default"/>
    <w:sig w:usb0="E1002EFF" w:usb1="C000605B" w:usb2="00000029" w:usb3="00000000" w:csb0="200101FF" w:csb1="20280000"/>
  </w:font>
  <w:font w:name="方正宋体S-超大字符集">
    <w:panose1 w:val="02000000000000000000"/>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7E6B7"/>
    <w:multiLevelType w:val="multilevel"/>
    <w:tmpl w:val="FFF7E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false"/>
  <w:bordersDoNotSurroundFooter w:val="false"/>
  <w:documentProtection w:enforcement="0"/>
  <w:defaultTabStop w:val="420"/>
  <w:displayHorizontalDrawingGridEvery w:val="1"/>
  <w:displayVerticalDrawingGridEvery w:val="1"/>
  <w:noPunctuationKerning w:val="true"/>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rsids>
    <w:rsidRoot w:val="00000000"/>
    <w:rsid w:val="D9BD75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serif" w:hAnsi="serif" w:eastAsia="serif" w:cs="serif"/>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hint="default" w:ascii="serif" w:hAnsi="serif" w:eastAsia="serif" w:cs="serif"/>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hint="default" w:ascii="serif" w:hAnsi="serif" w:eastAsia="serif" w:cs="serif"/>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serif" w:hAnsi="serif" w:eastAsia="serif" w:cs="serif"/>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ascii="serif" w:hAnsi="serif" w:eastAsia="serif" w:cs="serif"/>
      <w:b/>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hint="default" w:ascii="Consolas" w:hAnsi="Consolas" w:eastAsia="Consolas" w:cs="Consolas"/>
      <w:kern w:val="0"/>
      <w:sz w:val="24"/>
      <w:szCs w:val="24"/>
      <w:lang w:val="en-US" w:eastAsia="zh-CN" w:bidi="ar"/>
    </w:rPr>
  </w:style>
  <w:style w:type="paragraph" w:styleId="9">
    <w:name w:val="Normal (Web)"/>
    <w:basedOn w:val="1"/>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uiPriority w:val="0"/>
    <w:rPr>
      <w:color w:val="0099FF"/>
      <w:u w:val="none"/>
      <w:bdr w:val="none" w:color="auto" w:sz="0" w:space="0"/>
      <w:vertAlign w:val="baseline"/>
    </w:rPr>
  </w:style>
  <w:style w:type="character" w:styleId="13">
    <w:name w:val="Hyperlink"/>
    <w:basedOn w:val="11"/>
    <w:uiPriority w:val="0"/>
    <w:rPr>
      <w:color w:val="0099FF"/>
      <w:u w:val="none"/>
      <w:bdr w:val="none" w:color="auto" w:sz="0" w:space="0"/>
      <w:vertAlign w:val="baseline"/>
    </w:rPr>
  </w:style>
  <w:style w:type="character" w:styleId="14">
    <w:name w:val="HTML Code"/>
    <w:basedOn w:val="11"/>
    <w:uiPriority w:val="0"/>
    <w:rPr>
      <w:rFonts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Office_11.8.2.10309_F1E327BC-269C-435d-A152-05C5408002CA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2024-08-30T15:37:08Z</dcterms:created>
  <cp:lastModifiedBy>root</cp:lastModifiedBy>
  <dcterms:modified xsi:type="dcterms:W3CDTF">2024-08-30T15:37:08Z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2052-11.8.2.10309</vt:lpwstr>
  </property>
</Properties>
</file>