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《智能配送机器人租赁合同》（甲方）法律风险全面评估报告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致：南昌艾客淘供应链有限公司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作为贵司专属法律顾问，现结合《中华人民共和国民法典》（以下简称《民法典》）及相关司法解释、司法裁判规则，针对贵司提供的《智能配送机器人租赁合同》（以下简称“案涉合同”），站在承租方（甲方）视角，进行全维度法律风险评估，明确风险等级、法律后果及核心影响，为贵司签约决策提供法律依据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一、合同整体风险评级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案涉合同为乙方单方拟定的格式合同，</w:t>
      </w:r>
      <w:r>
        <w:rPr>
          <w:rFonts w:ascii="仿宋_GB2312" w:hAnsi="仿宋_GB2312" w:eastAsia="仿宋_GB2312"/>
          <w:b/>
          <w:sz w:val="24"/>
        </w:rPr>
        <w:t>核心权责严重失衡</w:t>
      </w:r>
      <w:r>
        <w:rPr>
          <w:rFonts w:ascii="仿宋_GB2312" w:hAnsi="仿宋_GB2312" w:eastAsia="仿宋_GB2312"/>
          <w:sz w:val="24"/>
        </w:rPr>
        <w:t>，存在大量关键信息空白、甲方义务过重、乙方核心义务及违约责任缺失、条款冲突等问题，整体风险等级为【高风险】，未经修改完善直接签署，将导致贵司核心权益无法保障，极易引发履约争议及重大经济损失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二、核心法律风险分项评估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（一）合同主体与缔约效力风险【最高风险】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合同核心缔约主体乙方的信息完全空白，包括乙方公司全称、统一社会信用代码、地址、联系方式、银行账户、纳税人识别号等全部必备信息均未填写，仅甲方信息完整，此为合同最致命的效力与履约风险。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合同成立与效力风险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法律依据：《民法典》第四百七十条，合同的内容由当事人约定，一般包括当事人的姓名或者名称和住所等必备条款；合同成立的核心要件是缔约主体明确、意思表示一致。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风险后果：乙方主体信息空白，导致合同相对方不明确，即便双方盖章，若乙方主体不适格（如无独立法人资格、无九识智能品牌授权、无租赁经营资质），将直接导致合同</w:t>
      </w:r>
      <w:r>
        <w:rPr>
          <w:rFonts w:ascii="仿宋_GB2312" w:hAnsi="仿宋_GB2312" w:eastAsia="仿宋_GB2312"/>
          <w:b/>
          <w:sz w:val="24"/>
        </w:rPr>
        <w:t>无效或效力待定</w:t>
      </w:r>
      <w:r>
        <w:rPr>
          <w:rFonts w:ascii="仿宋_GB2312" w:hAnsi="仿宋_GB2312" w:eastAsia="仿宋_GB2312"/>
          <w:sz w:val="24"/>
        </w:rPr>
        <w:t>；若后续乙方补填的主体与实际履约主体不一致，贵司将无法锁定合同相对方，维权无明确被告。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资金安全风险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乙方收款账户信息完全空白，贵司支付押金、租金无明确合规的对公收款账户，极易出现付款对象错误、资金转入私人账户后乙方不予认可、资金被挪用等风险，后续主张返还或追责难度极大。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送达与维权障碍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地址、联系方式空白，后续履约中（如产品异议、售后催告、解约通知）贵司无法完成有效书面送达；发生诉讼时，将面临法院无法送达法律文书、公告送达拉长诉讼周期、被告主体信息不明无法立案等问题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知识产权授权风险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合同未明确乙方是否为九识智能品牌的合法授权方，是否有权对外出租案涉机器人及FSD系统软件，若乙方为无权出租/转租，贵司使用案涉产品将涉嫌侵犯他人知识产权，面临被权利人起诉索赔的法律风险。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（二）合同标的与核心权利约定不明风险【高风险】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案涉合同对租赁标的的核心标准、甲方核心权利的实现路径均未明确约定，导致贵司的租赁目的可能无法实现，且无救济途径。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租赁标的技术标准与验收依据缺失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合同仅约定产品型号为Z5标准款（飞翼门），技术参数、功能标准以乙方单方提供的产品说明书为准，但产品说明书未作为合同附件经双方盖章确认。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说明书为乙方单方文件，可随时修改，若乙方交付的产品FSD自动驾驶功能、续航、配送效率、适用场景等核心指标无法满足贵司配送需求，贵司无明确合同依据主张产品不合格，无法追究乙方违约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“租转买”条款形同虚设，无可执行性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合同仅约定租赁期内转购买的，押金、剩余租金、FSD费用可抵扣车款，但未约定</w:t>
      </w:r>
      <w:r>
        <w:rPr>
          <w:rFonts w:ascii="仿宋_GB2312" w:hAnsi="仿宋_GB2312" w:eastAsia="仿宋_GB2312"/>
          <w:b/>
          <w:sz w:val="24"/>
        </w:rPr>
        <w:t>车辆总价款、抵扣规则、转买期限、产权过户条件、交付标准</w:t>
      </w:r>
      <w:r>
        <w:rPr>
          <w:rFonts w:ascii="仿宋_GB2312" w:hAnsi="仿宋_GB2312" w:eastAsia="仿宋_GB2312"/>
          <w:sz w:val="24"/>
        </w:rPr>
        <w:t>等核心内容。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风险后果：后续乙方可单方随意设定车辆购买总价，导致贵司的抵扣权益完全无法实现，该约定无任何法律约束力。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保险与配套服务约定模糊，风险敞口极大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合同约定乙方赠送同等租期的财产综合险、公众责任险及200G/月流量，但保单内容、流量规则均未作为附件确认。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未明确被保险人是否为贵司、保险额度、理赔范围、理赔配合义务，若机器人发生交通事故、财产损毁，保险无法覆盖的损失，贵司需先行承担，且无明确依据向乙方追偿；② 未约定流量超出部分的计费标准、流量中断的违约责任，若因乙方流量问题导致机器人停运，贵司无法主张租金减免或损失赔偿。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软件授权期限与保障缺失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合同仅约定甲方拥有软件授权期内的使用权，但未明确授权期限与租赁期限完全一致，也未约定租赁期内乙方停止软件授权、系统更新不及时导致无法使用的违约责任，贵司的核心使用权益无保障。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（三）交付与验收环节风险【高风险】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交付与验收条款完全向乙方倾斜，贵司的验收异议权被实质剥夺，且风险转移节点极不合理。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履约风险完全前置，贵司无任何抗辩保障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合同约定交付前提为贵司先行支付全额押金+3个月租金，先付款后交付，未设置任何乙方履约担保条款。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风险后果：贵司付款后，若乙方逾期交付、拒不交付、交付不合格产品，贵司只能通过诉讼维权，无任何自力救济途径，资金与履约风险完全由贵司承担。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交付核心信息空白，极易引发交付争议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合同中甲方指定交付地点、签收人、联系电话均为空白，仅约定甲方变更信息需提前3日书面通知。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风险后果：若双方未补填该信息即签约，乙方可随意选择交付地点，导致贵司无法正常签收；若因交付信息不明导致产品丢失、损毁，乙方将全部责任推给贵司。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验收期过短，贵司的异议权被实质剥夺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合同约定产品送达后2日内完成签收，签收后3个工作日内提出书面异议，逾期视为无异议。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案涉智能配送机器人为精密自动驾驶设备，需完成路线部署、现场调试、多场景运行测试才能确认是否符合使用要求，3个工作日根本无法完成全面验收，该约定实质剥夺了贵司的验收异议权，后续发现产品质量问题，乙方将以“逾期未提异议视为合格”为由拒绝承担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风险转移节点极不合理，加重贵司责任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合同约定产品损毁、灭失的风险自送达甲方指定地点后即转移至甲方，而非验收合格后。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七百一十二条，出租人应当履行租赁物的维修义务，租赁物毁损、灭失的风险，在租赁物交付前由出租人承担，交付后由承租人承担，但当事人另有约定的除外；但若租赁物未经验收合格，承租人未实际取得符合约定的使用权，风险转移无合理依据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风险后果：产品送达后，即便未验收、未调试、未确认合格，一旦发生损毁、被盗、故障，全部损失均由贵司承担，完全违背租赁合同的权责对等原则。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租金起算节点无明确验收标准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合同约定租金自“交付全部产品（包含路线部署交付）”后起算，但未约定</w:t>
      </w:r>
      <w:r>
        <w:rPr>
          <w:rFonts w:ascii="仿宋_GB2312" w:hAnsi="仿宋_GB2312" w:eastAsia="仿宋_GB2312"/>
          <w:b/>
          <w:sz w:val="24"/>
        </w:rPr>
        <w:t>路线部署的完成标准、验收流程、书面确认凭证</w:t>
      </w:r>
      <w:r>
        <w:rPr>
          <w:rFonts w:ascii="仿宋_GB2312" w:hAnsi="仿宋_GB2312" w:eastAsia="仿宋_GB2312"/>
          <w:sz w:val="24"/>
        </w:rPr>
        <w:t>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风险后果：乙方仅完成初步路线部署，未达到正常运营标准，即可主张租金起算，贵司无明确依据抗辩，即便产品无法正常使用，仍需支付租金。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（四）费用结算与押金条款风险【中高风险】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押金退还条款存在重大瑕疵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合同仅约定“合同到期或解约后5个工作内退还押金”，存在明显笔误（“5个工作内”应为“5个工作日内”），且未约定押金退还的前提条件、扣减情形、逾期退还的违约责任。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笔误可能导致双方对退还期限产生争议；② 乙方可随意以“产品损耗、配件缺失、甲方违约”等为由无故扣减押金，贵司无明确合同依据主张全额退还；③ 乙方逾期拒不退还押金的，贵司仅能主张本金，无法主张违约金，维权成本极高。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租金支付与抗辩权条款缺失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合同约定按季度预付租金，但未约定乙方交付产品不合格、不履行售后义务、产品无法正常使用时，贵司有权行使先履行抗辩权，拒付或减付租金。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风险后果：即便乙方产品存在严重瑕疵，贵司拒付租金仍将被认定为违约，面临支付高额违约金的风险。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发票条款无违约追责机制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合同仅约定乙方收款后5个工作日内开具13%增值税专用发票，但未约定乙方逾期开票、开具不合规/虚假发票的违约责任。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风险后果：若乙方拒不开票、开具不合规发票，贵司将无法抵扣进项税，产生直接税务损失，且无明确依据向乙方主张该部分损失赔偿。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条款冲突，退租规则约定不明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4.2条约定“甲方不续租需提前1个月告知，无需承担退租责任”，但7.3条又约定“任何一方无正当理由解除合同需支付合同总价款30%的违约金”，两条款存在严重冲突。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风险后果：“不续租”未明确是租期届满不续租，还是租期内提前退租；若贵司租期内提前退租，即便提前1个月告知，乙方仍可依据7.3条主张高额违约金，贵司将面临不利法律后果。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（五）售后质保条款风险【中高风险】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质保条款设置了极为苛刻的前提条件，乙方的质保义务被大幅限缩，贵司的质保权益难以实现。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质保生效条件过于苛刻，涉嫌格式条款无效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必须严格按照乙方发布的《售后服务手册》保养、必须在乙方认证服务站使用原厂配件，否则视为自愿放弃免费质保服务。但《售后服务手册》未作为合同附件经双方确认，贵司事前无法知晓保养规则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法律依据：《民法典》第四百九十七条，提供格式条款一方不合理地免除或者减轻其责任、加重对方责任、限制对方主要权利的，该格式条款无效。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乙方可通过单方制定、修改售后服务手册，设置过高的保养标准，或通过限定认证服务站、原厂配件抬高维修成本，贵司稍有不慎即丧失质保权；② 即便该条款后续被认定为无效，贵司仍需承担高额的举证责任，维权成本极高。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质保范围与责任界定模糊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合同约定免费质保仅覆盖产品质量问题，但未约定产品质量问题的界定标准、鉴定机构，也未明确核心零部件的完整清单（仅举例电机、电池等）。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风险后果：产品发生故障后，乙方可单方认定为“甲方操作不当、非产品质量问题”拒绝质保，贵司无明确依据反驳；对于传感器、主板等核心配件，乙方可单方认定为“非核心零部件”拒绝五年质保。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乙方售后义务无明确约束，运营损失无保障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合同未约定售后响应时间、维修周期、维修期间的租金减免规则，也未约定备用机提供义务；仅约定交付后5个工作日内提供技术培训，但未明确培训的内容、标准、效果。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机器人发生故障后，乙方可无限期拖延维修，期间贵司无法正常使用产品，仍需支付租金，运营损失无人承担；② 乙方未完成合格的培训，导致贵司人员操作不当引发事故，乙方将全部责任推给贵司，贵司需自行承担赔偿责任。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甲方维修权利被完全限制，损失扩大风险极高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合同约定未经乙方书面同意，贵司不得对产品零部件进行任何拆卸、修理、更换，否则不再承担质保责任。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风险后果：产品发生紧急故障（如路中抛锚、电池起火风险），贵司为防止损失扩大采取紧急维修措施，将直接丧失质保权，该约定完全不合理，极大加重了贵司的风险。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（六）违约责任条款风险【最高风险】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违约责任条款完全约束甲方，乙方的核心违约情形无任何责任约定，权责严重不对等，是贵司最核心的法律风险点。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违约金约定过高，加重贵司违约成本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合同约定违约方需支付合同总价款30%的违约金（合同总价款25200元，30%即7560元）；甲方逾期付款的，按日0.03%支付违约金，逾期30天的，乙方有权解除合同并另行主张总价款30%的违约金。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五百八十五条，约定的违约金过分高于造成的损失的，人民法院或者仲裁机构可以根据当事人的请求予以适当减少；司法实践中，违约金超过实际损失30%的，一般认定为“过分高于造成的损失”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即便贵司仅存在轻微违约（如逾期付款1天），乙方也可主张高额违约金；② 甲方逾期30天付款，需同时承担逾期付款违约金+合同总价款30%的违约金，存在重复追责，违约成本远超实际损失；③ 违约金过高的调整需贵司承担举证责任，极大增加了诉讼成本。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乙方的违约情形与责任完全缺失，权责严重不对等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详细约定了甲方逾期付款、提前解约、知识产权侵权、泄密等违约情形的责任，但未对乙方的核心违约行为约定任何违约责任，包括但不限于：乙方逾期交付产品、交付的产品不合格无法正常使用、拒不履行售后维修义务、逾期/拒不开具发票、停止软件授权导致产品无法使用等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风险后果：乙方发生上述根本违约行为时，贵司仅能套用通用条款主张30%的违约金，但需举证乙方构成根本违约，举证难度极大；贵司的实际损失（如运营损失、物流延误损失）无法得到有效赔偿。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合同解除权严重失衡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合同约定甲方逾期付款30天，乙方有权随时解除合同；但未约定乙方发生根本违约时（如逾期交付超过一定期限、产品不合格无法使用、拒不履行售后义务），贵司享有单方解除合同的权利。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风险后果：即便乙方完全不履行合同义务，贵司也无法依据合同约定行使单方解除权，只能通过法定解除途径维权，举证难度大、周期长，严重影响贵司的经营安排。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（七）知识产权与保密条款风险【中风险】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知识产权约束过于宽泛，违约金设置不合理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合同禁止甲方对软件、硬件进行反向工程、出租、出借、转让等行为，但未对相关行为作出明确定义；且约定只要存在上述行为，即需支付2万元固定违约金，无论是否给乙方造成实际损失。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贵司正常的运营合作中，让第三方人员操作机器人，可能被乙方认定为“出借、转让”；正常的故障检测可能被认定为“反向工程”，追责边界完全由乙方把控；② 2万元固定违约金远超轻微过失行为造成的损失，即便贵司无主观恶意，也将面临高额赔偿责任。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保密义务权责不对等，甲方数据安全无保障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重点约定了甲方对乙方商业秘密的保密义务，未明确乙方对甲方的物流数据、客户信息、经营数据等商业秘密的保密义务及违约责任；保密期限约定为“直至信息公开为止”，属于无限期保密，加重了贵司的责任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乙方泄露贵司的核心经营数据、物流信息，贵司无明确合同依据主张赔偿；② 无限期保密义务，远超商业秘密的合理保密期限，贵司将长期承担严苛的保密责任。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数据收集与使用规则不明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合同约定贵司同意遵守乙方及九识官网公示的、不时修订的隐私政策，同意乙方收集甲方的物流信息，但未约定数据的使用范围、禁止向第三方泄露的义务。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风险后果：乙方可随时修订隐私政策，扩大数据使用范围，甚至将贵司的物流数据提供给第三方，贵司的数据安全与商业秘密无任何保障。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（八）不可抗力、争议解决与其他条款风险【中风险】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路权相关条款冲突，运营风险无兜底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8.6条约定路权原因导致无法使用的，停用期间不计算租金、租期顺延；但5.7条又约定甲方违反当地规定的，不能以此为由“断供”，否则视为违约，两条款存在冲突。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未明确“路权原因”是乙方产品无合法路权资质，还是当地政策调整；若因乙方产品本身不符合当地路权规定，导致机器人长期无法上路运营，贵司仅能顺延租期，无法解除合同、要求赔偿，租赁目的完全无法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管辖约定效力存疑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争议由南昌市青山湖区人民法院管辖，但贵司住所地为南昌市小蓝经济开发区（属南昌县），乙方住所地未知，若青山湖区与案涉合同无任何实际联系（无合同签订地、履行地、标的物所在地等关联），该管辖约定将因违反《民事诉讼法》的规定而无效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风险后果：管辖约定无效的，贵司需到乙方住所地法院起诉，若乙方为外地企业，将极大增加贵司的维权成本。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合同附件缺失，乙方单方文件效力无约束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合同提及的《产品说明书》《售后服务手册》《保险保单》等核心文件，均未作为合同附件经双方盖章确认，仅约定以乙方提供的为准。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风险后果：乙方可随时单方修改上述文件的内容，加重贵司的义务、减轻乙方的责任，贵司无任何抗辩权。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合同文本与车型名称不一致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合同标题为“Z5飞翼款”，表格中约定为“Z5标准款（飞翼门格口）”，车型名称前后不一致。</w:t>
      </w:r>
    </w:p>
    <w:p>
      <w:pPr>
        <w:pStyle w:val="ListBullet"/>
        <w:ind w:left="1366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风险后果：乙方交付不符合约定的车型时，可以此为由抗辩，贵司无法主张乙方违约。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三、整体风险总结与核心签约建议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（一）整体风险总结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案涉合同为典型的乙方单方拟定的格式合同，</w:t>
      </w:r>
      <w:r>
        <w:rPr>
          <w:rFonts w:ascii="仿宋_GB2312" w:hAnsi="仿宋_GB2312" w:eastAsia="仿宋_GB2312"/>
          <w:b/>
          <w:sz w:val="24"/>
        </w:rPr>
        <w:t>存在2项最高风险、多项中高风险</w:t>
      </w:r>
      <w:r>
        <w:rPr>
          <w:rFonts w:ascii="仿宋_GB2312" w:hAnsi="仿宋_GB2312" w:eastAsia="仿宋_GB2312"/>
          <w:sz w:val="24"/>
        </w:rPr>
        <w:t>，核心问题为：缔约主体不明、权责严重失衡、甲方核心权益无保障、乙方违约无追责机制、关键条款约定不明/冲突。未经全面修改直接签署，贵司将面临资金损失、产品无法使用、维权无门等重大法律风险。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（二）核心签约前整改建议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补全乙方全部主体信息</w:t>
      </w:r>
      <w:r>
        <w:rPr>
          <w:rFonts w:ascii="仿宋_GB2312" w:hAnsi="仿宋_GB2312" w:eastAsia="仿宋_GB2312"/>
          <w:sz w:val="24"/>
        </w:rPr>
        <w:t>，明确乙方为九识智能的合法授权方，将品牌授权文件作为合同附件；核实乙方的营业执照、经营资质，确保主体适格。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完善合同标的核心约定</w:t>
      </w:r>
      <w:r>
        <w:rPr>
          <w:rFonts w:ascii="仿宋_GB2312" w:hAnsi="仿宋_GB2312" w:eastAsia="仿宋_GB2312"/>
          <w:sz w:val="24"/>
        </w:rPr>
        <w:t>，将产品说明书、技术参数、售后服务手册、保险保单作为合同附件，经双方盖章确认；明确租转买的车辆总价、抵扣规则、过户条件等核心内容。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重构交付与验收条款</w:t>
      </w:r>
      <w:r>
        <w:rPr>
          <w:rFonts w:ascii="仿宋_GB2312" w:hAnsi="仿宋_GB2312" w:eastAsia="仿宋_GB2312"/>
          <w:sz w:val="24"/>
        </w:rPr>
        <w:t>，调整风险转移节点为“验收合格后”；延长验收异议期，明确路线部署的验收标准与书面确认流程；设置乙方逾期交付的违约责任，明确逾期超过一定期限甲方有权解除合同。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修正押金与费用条款</w:t>
      </w:r>
      <w:r>
        <w:rPr>
          <w:rFonts w:ascii="仿宋_GB2312" w:hAnsi="仿宋_GB2312" w:eastAsia="仿宋_GB2312"/>
          <w:sz w:val="24"/>
        </w:rPr>
        <w:t>，明确押金退还的条件、扣减标准、逾期退还的违约金；约定乙方产品存在瑕疵时，甲方有权拒付/减付租金；明确乙方不开票、开错票的违约责任与损失赔偿规则。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平衡违约责任条款</w:t>
      </w:r>
      <w:r>
        <w:rPr>
          <w:rFonts w:ascii="仿宋_GB2312" w:hAnsi="仿宋_GB2312" w:eastAsia="仿宋_GB2312"/>
          <w:sz w:val="24"/>
        </w:rPr>
        <w:t>，删除重复追责、过高违约金的约定；补充乙方逾期交付、产品不合格、拒不履行售后义务、停止软件授权等核心违约情形的违约责任，明确违约金计算标准与甲方的单方解除权。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6. </w:t>
      </w:r>
      <w:r>
        <w:rPr>
          <w:rFonts w:ascii="仿宋_GB2312" w:hAnsi="仿宋_GB2312" w:eastAsia="仿宋_GB2312"/>
          <w:b/>
          <w:sz w:val="24"/>
        </w:rPr>
        <w:t>完善售后质保条款</w:t>
      </w:r>
      <w:r>
        <w:rPr>
          <w:rFonts w:ascii="仿宋_GB2312" w:hAnsi="仿宋_GB2312" w:eastAsia="仿宋_GB2312"/>
          <w:sz w:val="24"/>
        </w:rPr>
        <w:t>，明确质保范围、质量问题界定标准、售后响应时间、维修周期与租金减免规则；删除不合理的质保限制条款，明确紧急情况下甲方的减损权利。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7. </w:t>
      </w:r>
      <w:r>
        <w:rPr>
          <w:rFonts w:ascii="仿宋_GB2312" w:hAnsi="仿宋_GB2312" w:eastAsia="仿宋_GB2312"/>
          <w:b/>
          <w:sz w:val="24"/>
        </w:rPr>
        <w:t>修正冲突条款与效力瑕疵条款</w:t>
      </w:r>
      <w:r>
        <w:rPr>
          <w:rFonts w:ascii="仿宋_GB2312" w:hAnsi="仿宋_GB2312" w:eastAsia="仿宋_GB2312"/>
          <w:sz w:val="24"/>
        </w:rPr>
        <w:t>，明确退租规则、路权问题的处理方式；调整管辖法院为与合同有实际联系的地点（如甲方住所地南昌县人民法院）；明确保密义务的双向性与合理期限，完善甲方数据安全保护条款。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 共 </w:t>
    </w:r>
    <w:r>
      <w:rPr>
        <w:rFonts w:ascii="宋体" w:hAnsi="宋体" w:eastAsia="宋体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line="240" w:lineRule="auto" w:beforeLines="100" w:afterLines="50"/>
      <w:outlineLvl w:val="0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line="240" w:lineRule="auto" w:beforeLines="100" w:afterLines="50"/>
      <w:outlineLvl w:val="1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line="240" w:lineRule="auto" w:beforeLines="100" w:afterLines="50"/>
      <w:outlineLvl w:val="2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3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4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5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6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7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8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adjustRightIn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  <w:pBdr>
        <w:bottom w:val="none" w:sz="0" w:space="0" w:color="auto"/>
        <w:top w:val="none" w:sz="0" w:space="0" w:color="auto"/>
        <w:left w:val="none" w:sz="0" w:space="0" w:color="auto"/>
        <w:right w:val="none" w:sz="0" w:space="0" w:color="auto"/>
      </w:pBdr>
      <w:snapToGrid w:val="0"/>
      <w:adjustRightInd w:val="0"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adjustRightIn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4" w:lineRule="auto" w:after="0" w:beforeLines="50"/>
      <w:ind w:left="567" w:hanging="397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88" w:lineRule="auto" w:beforeLines="50"/>
      <w:ind w:firstLine="480"/>
      <w:jc w:val="both"/>
      <w:snapToGrid w:val="0"/>
      <w:adjustRightIn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adjustRightIn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adjustRightIn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adjustRightIn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adjustRightIn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adjustRightIn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4" w:lineRule="auto" w:after="0" w:beforeLines="50"/>
      <w:ind w:left="799" w:hanging="232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adjustRightIn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adjustRightIn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adjustRightIn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adjustRightIn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adjustRightIn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adjustRightIn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adjustRightIn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adjustRightIn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adjustRightIn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adjustRightIn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adjustRightIn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  <w:adjustRightIn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adjustRightIn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