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color w:val="000000"/>
          <w:sz w:val="36"/>
        </w:rPr>
        <w:t>《智能配送机器人租赁合同》（甲方）法律风险全面评估报告</w:t>
      </w:r>
    </w:p>
    <w:p>
      <w:pPr>
        <w:pStyle w:val="BodyText"/>
      </w:pPr>
      <w:r>
        <w:rPr>
          <w:rFonts w:ascii="仿宋_GB2312" w:hAnsi="仿宋_GB2312" w:eastAsia="仿宋_GB2312"/>
          <w:sz w:val="24"/>
        </w:rPr>
        <w:t>致：南昌艾客淘供应链有限公司</w:t>
      </w:r>
    </w:p>
    <w:p>
      <w:pPr>
        <w:pStyle w:val="BodyText"/>
      </w:pPr>
      <w:r>
        <w:rPr>
          <w:rFonts w:ascii="仿宋_GB2312" w:hAnsi="仿宋_GB2312" w:eastAsia="仿宋_GB2312"/>
          <w:sz w:val="24"/>
        </w:rPr>
        <w:t>作为贵司专属法律顾问，现结合《中华人民共和国民法典》（以下简称《民法典》）及相关司法解释、司法裁判规则，针对贵司提供的《智能配送机器人租赁合同》（以下简称“案涉合同”），站在承租方（甲方）视角，进行全维度法律风险评估，明确风险等级、法律后果及核心影响，为贵司签约决策提供法律依据。</w:t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一、合同整体风险评级</w:t>
      </w:r>
    </w:p>
    <w:p>
      <w:pPr>
        <w:pStyle w:val="BodyText"/>
      </w:pPr>
      <w:r>
        <w:rPr>
          <w:rFonts w:ascii="仿宋_GB2312" w:hAnsi="仿宋_GB2312" w:eastAsia="仿宋_GB2312"/>
          <w:sz w:val="24"/>
        </w:rPr>
        <w:t>案涉合同为乙方单方拟定的格式合同，</w:t>
      </w:r>
      <w:r>
        <w:rPr>
          <w:rFonts w:ascii="仿宋_GB2312" w:hAnsi="仿宋_GB2312" w:eastAsia="仿宋_GB2312"/>
          <w:b/>
          <w:sz w:val="24"/>
        </w:rPr>
        <w:t>核心权责严重失衡</w:t>
      </w:r>
      <w:r>
        <w:rPr>
          <w:rFonts w:ascii="仿宋_GB2312" w:hAnsi="仿宋_GB2312" w:eastAsia="仿宋_GB2312"/>
          <w:sz w:val="24"/>
        </w:rPr>
        <w:t>，存在大量关键信息空白、甲方义务过重、乙方核心义务及违约责任缺失、条款冲突等问题，整体风险等级为【高风险】，未经修改完善直接签署，将导致贵司核心权益无法保障，极易引发履约争议及重大经济损失。</w:t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二、核心法律风险分项评估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（一）合同主体与缔约效力风险【最高风险】</w:t>
      </w:r>
    </w:p>
    <w:p>
      <w:pPr>
        <w:pStyle w:val="BodyText"/>
      </w:pPr>
      <w:r>
        <w:rPr>
          <w:rFonts w:ascii="仿宋_GB2312" w:hAnsi="仿宋_GB2312" w:eastAsia="仿宋_GB2312"/>
          <w:sz w:val="24"/>
        </w:rPr>
        <w:t>合同核心缔约主体乙方的信息完全空白，包括乙方公司全称、统一社会信用代码、地址、联系方式、银行账户、纳税人识别号等全部必备信息均未填写，仅甲方信息完整，此为合同最致命的效力与履约风险。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1. </w:t>
      </w:r>
      <w:r>
        <w:rPr>
          <w:rFonts w:ascii="仿宋_GB2312" w:hAnsi="仿宋_GB2312" w:eastAsia="仿宋_GB2312"/>
          <w:b/>
          <w:sz w:val="24"/>
        </w:rPr>
        <w:t>合同成立与效力风险</w:t>
      </w:r>
    </w:p>
    <w:p>
      <w:pPr>
        <w:pStyle w:val="ULParagraph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法律依据：《民法典》第四百七十条，合同的内容由当事人约定，一般包括当事人的姓名或者名称和住所等必备条款；合同成立的核心要件是缔约主体明确、意思表示一致。</w:t>
      </w:r>
    </w:p>
    <w:p>
      <w:pPr>
        <w:pStyle w:val="ULParagraph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风险后果：乙方主体信息空白，导致合同相对方不明确，即便双方盖章，若乙方主体不适格（如无独立法人资格、无九识智能品牌授权、无租赁经营资质），将直接导致合同</w:t>
      </w:r>
      <w:r>
        <w:rPr>
          <w:rFonts w:ascii="仿宋_GB2312" w:hAnsi="仿宋_GB2312" w:eastAsia="仿宋_GB2312"/>
          <w:b/>
          <w:sz w:val="24"/>
        </w:rPr>
        <w:t>无效或效力待定</w:t>
      </w:r>
      <w:r>
        <w:rPr>
          <w:rFonts w:ascii="仿宋_GB2312" w:hAnsi="仿宋_GB2312" w:eastAsia="仿宋_GB2312"/>
          <w:sz w:val="24"/>
        </w:rPr>
        <w:t>；若后续乙方补填的主体与实际履约主体不一致，贵司将无法锁定合同相对方，维权无明确被告。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2. </w:t>
      </w:r>
      <w:r>
        <w:rPr>
          <w:rFonts w:ascii="仿宋_GB2312" w:hAnsi="仿宋_GB2312" w:eastAsia="仿宋_GB2312"/>
          <w:b/>
          <w:sz w:val="24"/>
        </w:rPr>
        <w:t>资金安全风险</w:t>
      </w:r>
    </w:p>
    <w:p>
      <w:pPr>
        <w:pStyle w:val="ULParagraph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乙方收款账户信息完全空白，贵司支付押金、租金无明确合规的对公收款账户，极易出现付款对象错误、资金转入私人账户后乙方不予认可、资金被挪用等风险，后续主张返还或追责难度极大。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3. </w:t>
      </w:r>
      <w:r>
        <w:rPr>
          <w:rFonts w:ascii="仿宋_GB2312" w:hAnsi="仿宋_GB2312" w:eastAsia="仿宋_GB2312"/>
          <w:b/>
          <w:sz w:val="24"/>
        </w:rPr>
        <w:t>送达与维权障碍</w:t>
      </w:r>
    </w:p>
    <w:p>
      <w:pPr>
        <w:pStyle w:val="ULParagraph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乙方地址、联系方式空白，后续履约中（如产品异议、售后催告、解约通知）贵司无法完成有效书面送达；发生诉讼时，将面临法院无法送达法律文书、公告送达拉长诉讼周期、被告主体信息不明无法立案等问题，维权成本极高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4. </w:t>
      </w:r>
      <w:r>
        <w:rPr>
          <w:rFonts w:ascii="仿宋_GB2312" w:hAnsi="仿宋_GB2312" w:eastAsia="仿宋_GB2312"/>
          <w:b/>
          <w:sz w:val="24"/>
        </w:rPr>
        <w:t>知识产权授权风险</w:t>
      </w:r>
    </w:p>
    <w:p>
      <w:pPr>
        <w:pStyle w:val="ULParagraph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合同未明确乙方是否为九识智能品牌的合法授权方，是否有权对外出租案涉机器人及FSD系统软件，若乙方为无权出租/转租，贵司使用案涉产品将涉嫌侵犯他人知识产权，面临被权利人起诉索赔的法律风险。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（二）合同标的与核心权利约定不明风险【高风险】</w:t>
      </w:r>
    </w:p>
    <w:p>
      <w:pPr>
        <w:pStyle w:val="BodyText"/>
      </w:pPr>
      <w:r>
        <w:rPr>
          <w:rFonts w:ascii="仿宋_GB2312" w:hAnsi="仿宋_GB2312" w:eastAsia="仿宋_GB2312"/>
          <w:sz w:val="24"/>
        </w:rPr>
        <w:t>案涉合同对租赁标的的核心标准、甲方核心权利的实现路径均未明确约定，导致贵司的租赁目的可能无法实现，且无救济途径。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1. </w:t>
      </w:r>
      <w:r>
        <w:rPr>
          <w:rFonts w:ascii="仿宋_GB2312" w:hAnsi="仿宋_GB2312" w:eastAsia="仿宋_GB2312"/>
          <w:b/>
          <w:sz w:val="24"/>
        </w:rPr>
        <w:t>租赁标的技术标准与验收依据缺失</w:t>
      </w:r>
    </w:p>
    <w:p>
      <w:pPr>
        <w:pStyle w:val="ULParagraph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合同仅约定产品型号为Z5标准款（飞翼门），技术参数、功能标准以乙方单方提供的产品说明书为准，但产品说明书未作为合同附件经双方盖章确认。</w:t>
      </w:r>
    </w:p>
    <w:p>
      <w:pPr>
        <w:pStyle w:val="ULParagraph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产品说明书为乙方单方文件，可随时修改，若乙方交付的产品FSD自动驾驶功能、续航、配送效率、适用场景等核心指标无法满足贵司配送需求，贵司无明确合同依据主张产品不合格，无法追究乙方违约责任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2. </w:t>
      </w:r>
      <w:r>
        <w:rPr>
          <w:rFonts w:ascii="仿宋_GB2312" w:hAnsi="仿宋_GB2312" w:eastAsia="仿宋_GB2312"/>
          <w:b/>
          <w:sz w:val="24"/>
        </w:rPr>
        <w:t>“租转买”条款形同虚设，无可执行性</w:t>
      </w:r>
    </w:p>
    <w:p>
      <w:pPr>
        <w:pStyle w:val="ULParagraph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合同仅约定租赁期内转购买的，押金、剩余租金、FSD费用可抵扣车款，但未约定</w:t>
      </w:r>
      <w:r>
        <w:rPr>
          <w:rFonts w:ascii="仿宋_GB2312" w:hAnsi="仿宋_GB2312" w:eastAsia="仿宋_GB2312"/>
          <w:b/>
          <w:sz w:val="24"/>
        </w:rPr>
        <w:t>车辆总价款、抵扣规则、转买期限、产权过户条件、交付标准</w:t>
      </w:r>
      <w:r>
        <w:rPr>
          <w:rFonts w:ascii="仿宋_GB2312" w:hAnsi="仿宋_GB2312" w:eastAsia="仿宋_GB2312"/>
          <w:sz w:val="24"/>
        </w:rPr>
        <w:t>等核心内容。</w:t>
      </w:r>
    </w:p>
    <w:p>
      <w:pPr>
        <w:pStyle w:val="ULParagraph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风险后果：后续乙方可单方随意设定车辆购买总价，导致贵司的抵扣权益完全无法实现，该约定无任何法律约束力。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3. </w:t>
      </w:r>
      <w:r>
        <w:rPr>
          <w:rFonts w:ascii="仿宋_GB2312" w:hAnsi="仿宋_GB2312" w:eastAsia="仿宋_GB2312"/>
          <w:b/>
          <w:sz w:val="24"/>
        </w:rPr>
        <w:t>保险与配套服务约定模糊，风险敞口极大</w:t>
      </w:r>
    </w:p>
    <w:p>
      <w:pPr>
        <w:pStyle w:val="ULParagraph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合同约定乙方赠送同等租期的财产综合险、公众责任险及200G/月流量，但保单内容、流量规则均未作为附件确认。</w:t>
      </w:r>
    </w:p>
    <w:p>
      <w:pPr>
        <w:pStyle w:val="ULParagraph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风险后果：① 未明确被保险人是否为贵司、保险额度、理赔范围、理赔配合义务，若机器人发生交通事故、财产损毁，保险无法覆盖的损失，贵司需先行承担，且无明确依据向乙方追偿；② 未约定流量超出部分的计费标准、流量中断的违约责任，若因乙方流量问题导致机器人停运，贵司无法主张租金减免或损失赔偿。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4. </w:t>
      </w:r>
      <w:r>
        <w:rPr>
          <w:rFonts w:ascii="仿宋_GB2312" w:hAnsi="仿宋_GB2312" w:eastAsia="仿宋_GB2312"/>
          <w:b/>
          <w:sz w:val="24"/>
        </w:rPr>
        <w:t>软件授权期限与保障缺失</w:t>
      </w:r>
    </w:p>
    <w:p>
      <w:pPr>
        <w:pStyle w:val="ULParagraph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合同仅约定甲方拥有软件授权期内的使用权，但未明确授权期限与租赁期限完全一致，也未约定租赁期内乙方停止软件授权、系统更新不及时导致无法使用的违约责任，贵司的核心使用权益无保障。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（三）交付与验收环节风险【高风险】</w:t>
      </w:r>
    </w:p>
    <w:p>
      <w:pPr>
        <w:pStyle w:val="BodyText"/>
      </w:pPr>
      <w:r>
        <w:rPr>
          <w:rFonts w:ascii="仿宋_GB2312" w:hAnsi="仿宋_GB2312" w:eastAsia="仿宋_GB2312"/>
          <w:sz w:val="24"/>
        </w:rPr>
        <w:t>交付与验收条款完全向乙方倾斜，贵司的验收异议权被实质剥夺，且风险转移节点极不合理。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1. </w:t>
      </w:r>
      <w:r>
        <w:rPr>
          <w:rFonts w:ascii="仿宋_GB2312" w:hAnsi="仿宋_GB2312" w:eastAsia="仿宋_GB2312"/>
          <w:b/>
          <w:sz w:val="24"/>
        </w:rPr>
        <w:t>履约风险完全前置，贵司无任何抗辩保障</w:t>
      </w:r>
    </w:p>
    <w:p>
      <w:pPr>
        <w:pStyle w:val="ULParagraph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合同约定交付前提为贵司先行支付全额押金+3个月租金，先付款后交付，未设置任何乙方履约担保条款。</w:t>
      </w:r>
    </w:p>
    <w:p>
      <w:pPr>
        <w:pStyle w:val="ULParagraph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风险后果：贵司付款后，若乙方逾期交付、拒不交付、交付不合格产品，贵司只能通过诉讼维权，无任何自力救济途径，资金与履约风险完全由贵司承担。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2. </w:t>
      </w:r>
      <w:r>
        <w:rPr>
          <w:rFonts w:ascii="仿宋_GB2312" w:hAnsi="仿宋_GB2312" w:eastAsia="仿宋_GB2312"/>
          <w:b/>
          <w:sz w:val="24"/>
        </w:rPr>
        <w:t>交付核心信息空白，极易引发交付争议</w:t>
      </w:r>
    </w:p>
    <w:p>
      <w:pPr>
        <w:pStyle w:val="ULParagraph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合同中甲方指定交付地点、签收人、联系电话均为空白，仅约定甲方变更信息需提前3日书面通知。</w:t>
      </w:r>
    </w:p>
    <w:p>
      <w:pPr>
        <w:pStyle w:val="ULParagraph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风险后果：若双方未补填该信息即签约，乙方可随意选择交付地点，导致贵司无法正常签收；若因交付信息不明导致产品丢失、损毁，乙方将全部责任推给贵司。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3. </w:t>
      </w:r>
      <w:r>
        <w:rPr>
          <w:rFonts w:ascii="仿宋_GB2312" w:hAnsi="仿宋_GB2312" w:eastAsia="仿宋_GB2312"/>
          <w:b/>
          <w:sz w:val="24"/>
        </w:rPr>
        <w:t>验收期过短，贵司的异议权被实质剥夺</w:t>
      </w:r>
    </w:p>
    <w:p>
      <w:pPr>
        <w:pStyle w:val="ULParagraph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合同约定产品送达后2日内完成签收，签收后3个工作日内提出书面异议，逾期视为无异议。</w:t>
      </w:r>
    </w:p>
    <w:p>
      <w:pPr>
        <w:pStyle w:val="ULParagraph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案涉智能配送机器人为精密自动驾驶设备，需完成路线部署、现场调试、多场景运行测试才能确认是否符合使用要求，3个工作日根本无法完成全面验收，该约定实质剥夺了贵司的验收异议权，后续发现产品质量问题，乙方将以“逾期未提异议视为合格”为由拒绝承担责任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4. </w:t>
      </w:r>
      <w:r>
        <w:rPr>
          <w:rFonts w:ascii="仿宋_GB2312" w:hAnsi="仿宋_GB2312" w:eastAsia="仿宋_GB2312"/>
          <w:b/>
          <w:sz w:val="24"/>
        </w:rPr>
        <w:t>风险转移节点极不合理，加重贵司责任</w:t>
      </w:r>
    </w:p>
    <w:p>
      <w:pPr>
        <w:pStyle w:val="ULParagraph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合同约定产品损毁、灭失的风险自送达甲方指定地点后即转移至甲方，而非验收合格后。</w:t>
      </w:r>
    </w:p>
    <w:p>
      <w:pPr>
        <w:pStyle w:val="ULParagraph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法律依据：《民法典》第七百一十二条，出租人应当履行租赁物的维修义务，租赁物毁损、灭失的风险，在租赁物交付前由出租人承担，交付后由承租人承担，但当事人另有约定的除外；但若租赁物未经验收合格，承租人未实际取得符合约定的使用权，风险转移无合理依据。</w:t>
      </w:r>
    </w:p>
    <w:p>
      <w:pPr>
        <w:pStyle w:val="ULParagraph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风险后果：产品送达后，即便未验收、未调试、未确认合格，一旦发生损毁、被盗、故障，全部损失均由贵司承担，完全违背租赁合同的权责对等原则。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5. </w:t>
      </w:r>
      <w:r>
        <w:rPr>
          <w:rFonts w:ascii="仿宋_GB2312" w:hAnsi="仿宋_GB2312" w:eastAsia="仿宋_GB2312"/>
          <w:b/>
          <w:sz w:val="24"/>
        </w:rPr>
        <w:t>租金起算节点无明确验收标准</w:t>
      </w:r>
    </w:p>
    <w:p>
      <w:pPr>
        <w:pStyle w:val="ULParagraph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合同约定租金自“交付全部产品（包含路线部署交付）”后起算，但未约定</w:t>
      </w:r>
      <w:r>
        <w:rPr>
          <w:rFonts w:ascii="仿宋_GB2312" w:hAnsi="仿宋_GB2312" w:eastAsia="仿宋_GB2312"/>
          <w:b/>
          <w:sz w:val="24"/>
        </w:rPr>
        <w:t>路线部署的完成标准、验收流程、书面确认凭证</w:t>
      </w:r>
      <w:r>
        <w:rPr>
          <w:rFonts w:ascii="仿宋_GB2312" w:hAnsi="仿宋_GB2312" w:eastAsia="仿宋_GB2312"/>
          <w:sz w:val="24"/>
        </w:rPr>
        <w:t>。</w:t>
      </w:r>
    </w:p>
    <w:p>
      <w:pPr>
        <w:pStyle w:val="ULParagraph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风险后果：乙方仅完成初步路线部署，未达到正常运营标准，即可主张租金起算，贵司无明确依据抗辩，即便产品无法正常使用，仍需支付租金。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（四）费用结算与押金条款风险【中高风险】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1. </w:t>
      </w:r>
      <w:r>
        <w:rPr>
          <w:rFonts w:ascii="仿宋_GB2312" w:hAnsi="仿宋_GB2312" w:eastAsia="仿宋_GB2312"/>
          <w:b/>
          <w:sz w:val="24"/>
        </w:rPr>
        <w:t>押金退还条款存在重大瑕疵</w:t>
      </w:r>
    </w:p>
    <w:p>
      <w:pPr>
        <w:pStyle w:val="ULParagraph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合同仅约定“合同到期或解约后5个工作内退还押金”，存在明显笔误（“5个工作内”应为“5个工作日内”），且未约定押金退还的前提条件、扣减情形、逾期退还的违约责任。</w:t>
      </w:r>
    </w:p>
    <w:p>
      <w:pPr>
        <w:pStyle w:val="ULParagraph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风险后果：① 笔误可能导致双方对退还期限产生争议；② 乙方可随意以“产品损耗、配件缺失、甲方违约”等为由无故扣减押金，贵司无明确合同依据主张全额退还；③ 乙方逾期拒不退还押金的，贵司仅能主张本金，无法主张违约金，维权成本极高。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2. </w:t>
      </w:r>
      <w:r>
        <w:rPr>
          <w:rFonts w:ascii="仿宋_GB2312" w:hAnsi="仿宋_GB2312" w:eastAsia="仿宋_GB2312"/>
          <w:b/>
          <w:sz w:val="24"/>
        </w:rPr>
        <w:t>租金支付与抗辩权条款缺失</w:t>
      </w:r>
    </w:p>
    <w:p>
      <w:pPr>
        <w:pStyle w:val="ULParagraph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合同约定按季度预付租金，但未约定乙方交付产品不合格、不履行售后义务、产品无法正常使用时，贵司有权行使先履行抗辩权，拒付或减付租金。</w:t>
      </w:r>
    </w:p>
    <w:p>
      <w:pPr>
        <w:pStyle w:val="ULParagraph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风险后果：即便乙方产品存在严重瑕疵，贵司拒付租金仍将被认定为违约，面临支付高额违约金的风险。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3. </w:t>
      </w:r>
      <w:r>
        <w:rPr>
          <w:rFonts w:ascii="仿宋_GB2312" w:hAnsi="仿宋_GB2312" w:eastAsia="仿宋_GB2312"/>
          <w:b/>
          <w:sz w:val="24"/>
        </w:rPr>
        <w:t>发票条款无违约追责机制</w:t>
      </w:r>
    </w:p>
    <w:p>
      <w:pPr>
        <w:pStyle w:val="ULParagraph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合同仅约定乙方收款后5个工作日内开具13%增值税专用发票，但未约定乙方逾期开票、开具不合规/虚假发票的违约责任。</w:t>
      </w:r>
    </w:p>
    <w:p>
      <w:pPr>
        <w:pStyle w:val="ULParagraph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风险后果：若乙方拒不开票、开具不合规发票，贵司将无法抵扣进项税，产生直接税务损失，且无明确依据向乙方主张该部分损失赔偿。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4. </w:t>
      </w:r>
      <w:r>
        <w:rPr>
          <w:rFonts w:ascii="仿宋_GB2312" w:hAnsi="仿宋_GB2312" w:eastAsia="仿宋_GB2312"/>
          <w:b/>
          <w:sz w:val="24"/>
        </w:rPr>
        <w:t>条款冲突，退租规则约定不明</w:t>
      </w:r>
    </w:p>
    <w:p>
      <w:pPr>
        <w:pStyle w:val="ULParagraph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4.2条约定“甲方不续租需提前1个月告知，无需承担退租责任”，但7.3条又约定“任何一方无正当理由解除合同需支付合同总价款30%的违约金”，两条款存在严重冲突。</w:t>
      </w:r>
    </w:p>
    <w:p>
      <w:pPr>
        <w:pStyle w:val="ULParagraph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风险后果：“不续租”未明确是租期届满不续租，还是租期内提前退租；若贵司租期内提前退租，即便提前1个月告知，乙方仍可依据7.3条主张高额违约金，贵司将面临不利法律后果。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（五）售后质保条款风险【中高风险】</w:t>
      </w:r>
    </w:p>
    <w:p>
      <w:pPr>
        <w:pStyle w:val="BodyText"/>
      </w:pPr>
      <w:r>
        <w:rPr>
          <w:rFonts w:ascii="仿宋_GB2312" w:hAnsi="仿宋_GB2312" w:eastAsia="仿宋_GB2312"/>
          <w:sz w:val="24"/>
        </w:rPr>
        <w:t>质保条款设置了极为苛刻的前提条件，乙方的质保义务被大幅限缩，贵司的质保权益难以实现。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1. </w:t>
      </w:r>
      <w:r>
        <w:rPr>
          <w:rFonts w:ascii="仿宋_GB2312" w:hAnsi="仿宋_GB2312" w:eastAsia="仿宋_GB2312"/>
          <w:b/>
          <w:sz w:val="24"/>
        </w:rPr>
        <w:t>质保生效条件过于苛刻，涉嫌格式条款无效</w:t>
      </w:r>
    </w:p>
    <w:p>
      <w:pPr>
        <w:pStyle w:val="ULParagraph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贵司必须严格按照乙方发布的《售后服务手册》保养、必须在乙方认证服务站使用原厂配件，否则视为自愿放弃免费质保服务。但《售后服务手册》未作为合同附件经双方确认，贵司事前无法知晓保养规则。</w:t>
      </w:r>
    </w:p>
    <w:p>
      <w:pPr>
        <w:pStyle w:val="ULParagraph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法律依据：《民法典》第四百九十七条，提供格式条款一方不合理地免除或者减轻其责任、加重对方责任、限制对方主要权利的，该格式条款无效。</w:t>
      </w:r>
    </w:p>
    <w:p>
      <w:pPr>
        <w:pStyle w:val="ULParagraph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风险后果：① 乙方可通过单方制定、修改售后服务手册，设置过高的保养标准，或通过限定认证服务站、原厂配件抬高维修成本，贵司稍有不慎即丧失质保权；② 即便该条款后续被认定为无效，贵司仍需承担高额的举证责任，维权成本极高。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2. </w:t>
      </w:r>
      <w:r>
        <w:rPr>
          <w:rFonts w:ascii="仿宋_GB2312" w:hAnsi="仿宋_GB2312" w:eastAsia="仿宋_GB2312"/>
          <w:b/>
          <w:sz w:val="24"/>
        </w:rPr>
        <w:t>质保范围与责任界定模糊</w:t>
      </w:r>
    </w:p>
    <w:p>
      <w:pPr>
        <w:pStyle w:val="ULParagraph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合同约定免费质保仅覆盖产品质量问题，但未约定产品质量问题的界定标准、鉴定机构，也未明确核心零部件的完整清单（仅举例电机、电池等）。</w:t>
      </w:r>
    </w:p>
    <w:p>
      <w:pPr>
        <w:pStyle w:val="ULParagraph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风险后果：产品发生故障后，乙方可单方认定为“甲方操作不当、非产品质量问题”拒绝质保，贵司无明确依据反驳；对于传感器、主板等核心配件，乙方可单方认定为“非核心零部件”拒绝五年质保。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3. </w:t>
      </w:r>
      <w:r>
        <w:rPr>
          <w:rFonts w:ascii="仿宋_GB2312" w:hAnsi="仿宋_GB2312" w:eastAsia="仿宋_GB2312"/>
          <w:b/>
          <w:sz w:val="24"/>
        </w:rPr>
        <w:t>乙方售后义务无明确约束，运营损失无保障</w:t>
      </w:r>
    </w:p>
    <w:p>
      <w:pPr>
        <w:pStyle w:val="ULParagraph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合同未约定售后响应时间、维修周期、维修期间的租金减免规则，也未约定备用机提供义务；仅约定交付后5个工作日内提供技术培训，但未明确培训的内容、标准、效果。</w:t>
      </w:r>
    </w:p>
    <w:p>
      <w:pPr>
        <w:pStyle w:val="ULParagraph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风险后果：① 机器人发生故障后，乙方可无限期拖延维修，期间贵司无法正常使用产品，仍需支付租金，运营损失无人承担；② 乙方未完成合格的培训，导致贵司人员操作不当引发事故，乙方将全部责任推给贵司，贵司需自行承担赔偿责任。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4. </w:t>
      </w:r>
      <w:r>
        <w:rPr>
          <w:rFonts w:ascii="仿宋_GB2312" w:hAnsi="仿宋_GB2312" w:eastAsia="仿宋_GB2312"/>
          <w:b/>
          <w:sz w:val="24"/>
        </w:rPr>
        <w:t>甲方维修权利被完全限制，损失扩大风险极高</w:t>
      </w:r>
    </w:p>
    <w:p>
      <w:pPr>
        <w:pStyle w:val="ULParagraph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合同约定未经乙方书面同意，贵司不得对产品零部件进行任何拆卸、修理、更换，否则不再承担质保责任。</w:t>
      </w:r>
    </w:p>
    <w:p>
      <w:pPr>
        <w:pStyle w:val="ULParagraph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风险后果：产品发生紧急故障（如路中抛锚、电池起火风险），贵司为防止损失扩大采取紧急维修措施，将直接丧失质保权，该约定完全不合理，极大加重了贵司的风险。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（六）违约责任条款风险【最高风险】</w:t>
      </w:r>
    </w:p>
    <w:p>
      <w:pPr>
        <w:pStyle w:val="BodyText"/>
      </w:pPr>
      <w:r>
        <w:rPr>
          <w:rFonts w:ascii="仿宋_GB2312" w:hAnsi="仿宋_GB2312" w:eastAsia="仿宋_GB2312"/>
          <w:sz w:val="24"/>
        </w:rPr>
        <w:t>违约责任条款完全约束甲方，乙方的核心违约情形无任何责任约定，权责严重不对等，是贵司最核心的法律风险点。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1. </w:t>
      </w:r>
      <w:r>
        <w:rPr>
          <w:rFonts w:ascii="仿宋_GB2312" w:hAnsi="仿宋_GB2312" w:eastAsia="仿宋_GB2312"/>
          <w:b/>
          <w:sz w:val="24"/>
        </w:rPr>
        <w:t>违约金约定过高，加重贵司违约成本</w:t>
      </w:r>
    </w:p>
    <w:p>
      <w:pPr>
        <w:pStyle w:val="ULParagraph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合同约定违约方需支付合同总价款30%的违约金（合同总价款25200元，30%即7560元）；甲方逾期付款的，按日0.03%支付违约金，逾期30天的，乙方有权解除合同并另行主张总价款30%的违约金。</w:t>
      </w:r>
    </w:p>
    <w:p>
      <w:pPr>
        <w:pStyle w:val="ULParagraph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法律依据：《民法典》第五百八十五条，约定的违约金过分高于造成的损失的，人民法院或者仲裁机构可以根据当事人的请求予以适当减少；司法实践中，违约金超过实际损失30%的，一般认定为“过分高于造成的损失”。</w:t>
      </w:r>
    </w:p>
    <w:p>
      <w:pPr>
        <w:pStyle w:val="ULParagraph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风险后果：① 即便贵司仅存在轻微违约（如逾期付款1天），乙方也可主张高额违约金；② 甲方逾期30天付款，需同时承担逾期付款违约金+合同总价款30%的违约金，存在重复追责，违约成本远超实际损失；③ 违约金过高的调整需贵司承担举证责任，极大增加了诉讼成本。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2. </w:t>
      </w:r>
      <w:r>
        <w:rPr>
          <w:rFonts w:ascii="仿宋_GB2312" w:hAnsi="仿宋_GB2312" w:eastAsia="仿宋_GB2312"/>
          <w:b/>
          <w:sz w:val="24"/>
        </w:rPr>
        <w:t>乙方的违约情形与责任完全缺失，权责严重不对等</w:t>
      </w:r>
    </w:p>
    <w:p>
      <w:pPr>
        <w:pStyle w:val="ULParagraph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仅详细约定了甲方逾期付款、提前解约、知识产权侵权、泄密等违约情形的责任，但未对乙方的核心违约行为约定任何违约责任，包括但不限于：乙方逾期交付产品、交付的产品不合格无法正常使用、拒不履行售后维修义务、逾期/拒不开具发票、停止软件授权导致产品无法使用等。</w:t>
      </w:r>
    </w:p>
    <w:p>
      <w:pPr>
        <w:pStyle w:val="ULParagraph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风险后果：乙方发生上述根本违约行为时，贵司仅能套用通用条款主张30%的违约金，但需举证乙方构成根本违约，举证难度极大；贵司的实际损失（如运营损失、物流延误损失）无法得到有效赔偿。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3. </w:t>
      </w:r>
      <w:r>
        <w:rPr>
          <w:rFonts w:ascii="仿宋_GB2312" w:hAnsi="仿宋_GB2312" w:eastAsia="仿宋_GB2312"/>
          <w:b/>
          <w:sz w:val="24"/>
        </w:rPr>
        <w:t>合同解除权严重失衡</w:t>
      </w:r>
    </w:p>
    <w:p>
      <w:pPr>
        <w:pStyle w:val="ULParagraph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合同约定甲方逾期付款30天，乙方有权随时解除合同；但未约定乙方发生根本违约时（如逾期交付超过一定期限、产品不合格无法使用、拒不履行售后义务），贵司享有单方解除合同的权利。</w:t>
      </w:r>
    </w:p>
    <w:p>
      <w:pPr>
        <w:pStyle w:val="ULParagraph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风险后果：即便乙方完全不履行合同义务，贵司也无法依据合同约定行使单方解除权，只能通过法定解除途径维权，举证难度大、周期长，严重影响贵司的经营安排。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（七）知识产权与保密条款风险【中风险】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1. </w:t>
      </w:r>
      <w:r>
        <w:rPr>
          <w:rFonts w:ascii="仿宋_GB2312" w:hAnsi="仿宋_GB2312" w:eastAsia="仿宋_GB2312"/>
          <w:b/>
          <w:sz w:val="24"/>
        </w:rPr>
        <w:t>知识产权约束过于宽泛，违约金设置不合理</w:t>
      </w:r>
    </w:p>
    <w:p>
      <w:pPr>
        <w:pStyle w:val="ULParagraph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合同禁止甲方对软件、硬件进行反向工程、出租、出借、转让等行为，但未对相关行为作出明确定义；且约定只要存在上述行为，即需支付2万元固定违约金，无论是否给乙方造成实际损失。</w:t>
      </w:r>
    </w:p>
    <w:p>
      <w:pPr>
        <w:pStyle w:val="ULParagraph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风险后果：① 贵司正常的运营合作中，让第三方人员操作机器人，可能被乙方认定为“出借、转让”；正常的故障检测可能被认定为“反向工程”，追责边界完全由乙方把控；② 2万元固定违约金远超轻微过失行为造成的损失，即便贵司无主观恶意，也将面临高额赔偿责任。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2. </w:t>
      </w:r>
      <w:r>
        <w:rPr>
          <w:rFonts w:ascii="仿宋_GB2312" w:hAnsi="仿宋_GB2312" w:eastAsia="仿宋_GB2312"/>
          <w:b/>
          <w:sz w:val="24"/>
        </w:rPr>
        <w:t>保密义务权责不对等，甲方数据安全无保障</w:t>
      </w:r>
    </w:p>
    <w:p>
      <w:pPr>
        <w:pStyle w:val="ULParagraph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仅重点约定了甲方对乙方商业秘密的保密义务，未明确乙方对甲方的物流数据、客户信息、经营数据等商业秘密的保密义务及违约责任；保密期限约定为“直至信息公开为止”，属于无限期保密，加重了贵司的责任。</w:t>
      </w:r>
    </w:p>
    <w:p>
      <w:pPr>
        <w:pStyle w:val="ULParagraph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风险后果：① 乙方泄露贵司的核心经营数据、物流信息，贵司无明确合同依据主张赔偿；② 无限期保密义务，远超商业秘密的合理保密期限，贵司将长期承担严苛的保密责任。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3. </w:t>
      </w:r>
      <w:r>
        <w:rPr>
          <w:rFonts w:ascii="仿宋_GB2312" w:hAnsi="仿宋_GB2312" w:eastAsia="仿宋_GB2312"/>
          <w:b/>
          <w:sz w:val="24"/>
        </w:rPr>
        <w:t>数据收集与使用规则不明</w:t>
      </w:r>
    </w:p>
    <w:p>
      <w:pPr>
        <w:pStyle w:val="ULParagraph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合同约定贵司同意遵守乙方及九识官网公示的、不时修订的隐私政策，同意乙方收集甲方的物流信息，但未约定数据的使用范围、禁止向第三方泄露的义务。</w:t>
      </w:r>
    </w:p>
    <w:p>
      <w:pPr>
        <w:pStyle w:val="ULParagraph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风险后果：乙方可随时修订隐私政策，扩大数据使用范围，甚至将贵司的物流数据提供给第三方，贵司的数据安全与商业秘密无任何保障。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（八）不可抗力、争议解决与其他条款风险【中风险】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1. </w:t>
      </w:r>
      <w:r>
        <w:rPr>
          <w:rFonts w:ascii="仿宋_GB2312" w:hAnsi="仿宋_GB2312" w:eastAsia="仿宋_GB2312"/>
          <w:b/>
          <w:sz w:val="24"/>
        </w:rPr>
        <w:t>路权相关条款冲突，运营风险无兜底</w:t>
      </w:r>
    </w:p>
    <w:p>
      <w:pPr>
        <w:pStyle w:val="ULParagraph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8.6条约定路权原因导致无法使用的，停用期间不计算租金、租期顺延；但5.7条又约定甲方违反当地规定的，不能以此为由“断供”，否则视为违约，两条款存在冲突。</w:t>
      </w:r>
    </w:p>
    <w:p>
      <w:pPr>
        <w:pStyle w:val="ULParagraph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未明确“路权原因”是乙方产品无合法路权资质，还是当地政策调整；若因乙方产品本身不符合当地路权规定，导致机器人长期无法上路运营，贵司仅能顺延租期，无法解除合同、要求赔偿，租赁目的完全无法实现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2. </w:t>
      </w:r>
      <w:r>
        <w:rPr>
          <w:rFonts w:ascii="仿宋_GB2312" w:hAnsi="仿宋_GB2312" w:eastAsia="仿宋_GB2312"/>
          <w:b/>
          <w:sz w:val="24"/>
        </w:rPr>
        <w:t>管辖约定效力存疑</w:t>
      </w:r>
    </w:p>
    <w:p>
      <w:pPr>
        <w:pStyle w:val="ULParagraph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争议由南昌市青山湖区人民法院管辖，但贵司住所地为南昌市小蓝经济开发区（属南昌县），乙方住所地未知，若青山湖区与案涉合同无任何实际联系（无合同签订地、履行地、标的物所在地等关联），该管辖约定将因违反《民事诉讼法》的规定而无效。</w:t>
      </w:r>
    </w:p>
    <w:p>
      <w:pPr>
        <w:pStyle w:val="ULParagraph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风险后果：管辖约定无效的，贵司需到乙方住所地法院起诉，若乙方为外地企业，将极大增加贵司的维权成本。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3. </w:t>
      </w:r>
      <w:r>
        <w:rPr>
          <w:rFonts w:ascii="仿宋_GB2312" w:hAnsi="仿宋_GB2312" w:eastAsia="仿宋_GB2312"/>
          <w:b/>
          <w:sz w:val="24"/>
        </w:rPr>
        <w:t>合同附件缺失，乙方单方文件效力无约束</w:t>
      </w:r>
    </w:p>
    <w:p>
      <w:pPr>
        <w:pStyle w:val="ULParagraph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合同提及的《产品说明书》《售后服务手册》《保险保单》等核心文件，均未作为合同附件经双方盖章确认，仅约定以乙方提供的为准。</w:t>
      </w:r>
    </w:p>
    <w:p>
      <w:pPr>
        <w:pStyle w:val="ULParagraph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风险后果：乙方可随时单方修改上述文件的内容，加重贵司的义务、减轻乙方的责任，贵司无任何抗辩权。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4. </w:t>
      </w:r>
      <w:r>
        <w:rPr>
          <w:rFonts w:ascii="仿宋_GB2312" w:hAnsi="仿宋_GB2312" w:eastAsia="仿宋_GB2312"/>
          <w:b/>
          <w:sz w:val="24"/>
        </w:rPr>
        <w:t>合同文本与车型名称不一致</w:t>
      </w:r>
    </w:p>
    <w:p>
      <w:pPr>
        <w:pStyle w:val="ULParagraph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合同标题为“Z5飞翼款”，表格中约定为“Z5标准款（飞翼门格口）”，车型名称前后不一致。</w:t>
      </w:r>
    </w:p>
    <w:p>
      <w:pPr>
        <w:pStyle w:val="ULParagraph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风险后果：乙方交付不符合约定的车型时，可以此为由抗辩，贵司无法主张乙方违约。</w:t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三、整体风险总结与核心签约建议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（一）整体风险总结</w:t>
      </w:r>
    </w:p>
    <w:p>
      <w:pPr>
        <w:pStyle w:val="BodyText"/>
      </w:pPr>
      <w:r>
        <w:rPr>
          <w:rFonts w:ascii="仿宋_GB2312" w:hAnsi="仿宋_GB2312" w:eastAsia="仿宋_GB2312"/>
          <w:sz w:val="24"/>
        </w:rPr>
        <w:t>案涉合同为典型的乙方单方拟定的格式合同，</w:t>
      </w:r>
      <w:r>
        <w:rPr>
          <w:rFonts w:ascii="仿宋_GB2312" w:hAnsi="仿宋_GB2312" w:eastAsia="仿宋_GB2312"/>
          <w:b/>
          <w:sz w:val="24"/>
        </w:rPr>
        <w:t>存在2项最高风险、多项中高风险</w:t>
      </w:r>
      <w:r>
        <w:rPr>
          <w:rFonts w:ascii="仿宋_GB2312" w:hAnsi="仿宋_GB2312" w:eastAsia="仿宋_GB2312"/>
          <w:sz w:val="24"/>
        </w:rPr>
        <w:t>，核心问题为：缔约主体不明、权责严重失衡、甲方核心权益无保障、乙方违约无追责机制、关键条款约定不明/冲突。未经全面修改直接签署，贵司将面临资金损失、产品无法使用、维权无门等重大法律风险。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（二）核心签约前整改建议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1. </w:t>
      </w:r>
      <w:r>
        <w:rPr>
          <w:rFonts w:ascii="仿宋_GB2312" w:hAnsi="仿宋_GB2312" w:eastAsia="仿宋_GB2312"/>
          <w:b/>
          <w:sz w:val="24"/>
        </w:rPr>
        <w:t>补全乙方全部主体信息</w:t>
      </w:r>
      <w:r>
        <w:rPr>
          <w:rFonts w:ascii="仿宋_GB2312" w:hAnsi="仿宋_GB2312" w:eastAsia="仿宋_GB2312"/>
          <w:sz w:val="24"/>
        </w:rPr>
        <w:t>，明确乙方为九识智能的合法授权方，将品牌授权文件作为合同附件；核实乙方的营业执照、经营资质，确保主体适格。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2. </w:t>
      </w:r>
      <w:r>
        <w:rPr>
          <w:rFonts w:ascii="仿宋_GB2312" w:hAnsi="仿宋_GB2312" w:eastAsia="仿宋_GB2312"/>
          <w:b/>
          <w:sz w:val="24"/>
        </w:rPr>
        <w:t>完善合同标的核心约定</w:t>
      </w:r>
      <w:r>
        <w:rPr>
          <w:rFonts w:ascii="仿宋_GB2312" w:hAnsi="仿宋_GB2312" w:eastAsia="仿宋_GB2312"/>
          <w:sz w:val="24"/>
        </w:rPr>
        <w:t>，将产品说明书、技术参数、售后服务手册、保险保单作为合同附件，经双方盖章确认；明确租转买的车辆总价、抵扣规则、过户条件等核心内容。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3. </w:t>
      </w:r>
      <w:r>
        <w:rPr>
          <w:rFonts w:ascii="仿宋_GB2312" w:hAnsi="仿宋_GB2312" w:eastAsia="仿宋_GB2312"/>
          <w:b/>
          <w:sz w:val="24"/>
        </w:rPr>
        <w:t>重构交付与验收条款</w:t>
      </w:r>
      <w:r>
        <w:rPr>
          <w:rFonts w:ascii="仿宋_GB2312" w:hAnsi="仿宋_GB2312" w:eastAsia="仿宋_GB2312"/>
          <w:sz w:val="24"/>
        </w:rPr>
        <w:t>，调整风险转移节点为“验收合格后”；延长验收异议期，明确路线部署的验收标准与书面确认流程；设置乙方逾期交付的违约责任，明确逾期超过一定期限甲方有权解除合同。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4. </w:t>
      </w:r>
      <w:r>
        <w:rPr>
          <w:rFonts w:ascii="仿宋_GB2312" w:hAnsi="仿宋_GB2312" w:eastAsia="仿宋_GB2312"/>
          <w:b/>
          <w:sz w:val="24"/>
        </w:rPr>
        <w:t>修正押金与费用条款</w:t>
      </w:r>
      <w:r>
        <w:rPr>
          <w:rFonts w:ascii="仿宋_GB2312" w:hAnsi="仿宋_GB2312" w:eastAsia="仿宋_GB2312"/>
          <w:sz w:val="24"/>
        </w:rPr>
        <w:t>，明确押金退还的条件、扣减标准、逾期退还的违约金；约定乙方产品存在瑕疵时，甲方有权拒付/减付租金；明确乙方不开票、开错票的违约责任与损失赔偿规则。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5. </w:t>
      </w:r>
      <w:r>
        <w:rPr>
          <w:rFonts w:ascii="仿宋_GB2312" w:hAnsi="仿宋_GB2312" w:eastAsia="仿宋_GB2312"/>
          <w:b/>
          <w:sz w:val="24"/>
        </w:rPr>
        <w:t>平衡违约责任条款</w:t>
      </w:r>
      <w:r>
        <w:rPr>
          <w:rFonts w:ascii="仿宋_GB2312" w:hAnsi="仿宋_GB2312" w:eastAsia="仿宋_GB2312"/>
          <w:sz w:val="24"/>
        </w:rPr>
        <w:t>，删除重复追责、过高违约金的约定；补充乙方逾期交付、产品不合格、拒不履行售后义务、停止软件授权等核心违约情形的违约责任，明确违约金计算标准与甲方的单方解除权。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6. </w:t>
      </w:r>
      <w:r>
        <w:rPr>
          <w:rFonts w:ascii="仿宋_GB2312" w:hAnsi="仿宋_GB2312" w:eastAsia="仿宋_GB2312"/>
          <w:b/>
          <w:sz w:val="24"/>
        </w:rPr>
        <w:t>完善售后质保条款</w:t>
      </w:r>
      <w:r>
        <w:rPr>
          <w:rFonts w:ascii="仿宋_GB2312" w:hAnsi="仿宋_GB2312" w:eastAsia="仿宋_GB2312"/>
          <w:sz w:val="24"/>
        </w:rPr>
        <w:t>，明确质保范围、质量问题界定标准、售后响应时间、维修周期与租金减免规则；删除不合理的质保限制条款，明确紧急情况下甲方的减损权利。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7. </w:t>
      </w:r>
      <w:r>
        <w:rPr>
          <w:rFonts w:ascii="仿宋_GB2312" w:hAnsi="仿宋_GB2312" w:eastAsia="仿宋_GB2312"/>
          <w:b/>
          <w:sz w:val="24"/>
        </w:rPr>
        <w:t>修正冲突条款与效力瑕疵条款</w:t>
      </w:r>
      <w:r>
        <w:rPr>
          <w:rFonts w:ascii="仿宋_GB2312" w:hAnsi="仿宋_GB2312" w:eastAsia="仿宋_GB2312"/>
          <w:sz w:val="24"/>
        </w:rPr>
        <w:t>，明确退租规则、路权问题的处理方式；调整管辖法院为与合同有实际联系的地点（如甲方住所地南昌县人民法院）；明确保密义务的双向性与合理期限，完善甲方数据安全保护条款。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 xml:space="preserve">第 </w:t>
    </w:r>
    <w:r>
      <w:rPr>
        <w:rFonts w:ascii="宋体" w:hAnsi="宋体" w:eastAsia="宋体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宋体" w:hAnsi="宋体" w:eastAsia="宋体"/>
        <w:sz w:val="18"/>
      </w:rPr>
      <w:t xml:space="preserve"> 页 共 </w:t>
    </w:r>
    <w:r>
      <w:rPr>
        <w:rFonts w:ascii="宋体" w:hAnsi="宋体" w:eastAsia="宋体"/>
        <w:sz w:val="18"/>
      </w:rPr>
      <w:fldChar w:fldCharType="begin"/>
      <w:instrText xml:space="preserve"> NUMPAGES </w:instrText>
      <w:fldChar w:fldCharType="separate"/>
      <w:fldChar w:fldCharType="end"/>
    </w:r>
    <w:r>
      <w:rPr>
        <w:rFonts w:ascii="宋体" w:hAnsi="宋体" w:eastAsia="宋体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  <w:jc w:val="both"/>
      <w:snapToGrid w:val="0"/>
      <w:adjustRightInd w:val="0"/>
    </w:pPr>
    <w:rPr>
      <w:rFonts w:ascii="仿宋_GB2312" w:hAnsi="仿宋_GB2312" w:eastAsia="仿宋_GB231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  <w:adjustRightIn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  <w:adjustRightIn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line="240" w:lineRule="auto" w:beforeLines="100" w:afterLines="50"/>
      <w:outlineLvl w:val="0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line="240" w:lineRule="auto" w:beforeLines="100" w:afterLines="50"/>
      <w:outlineLvl w:val="1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line="240" w:lineRule="auto" w:beforeLines="100" w:afterLines="50"/>
      <w:outlineLvl w:val="2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line="240" w:lineRule="auto" w:beforeLines="100" w:afterLines="50"/>
      <w:outlineLvl w:val="3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line="240" w:lineRule="auto" w:beforeLines="100" w:afterLines="50"/>
      <w:outlineLvl w:val="4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line="240" w:lineRule="auto" w:beforeLines="100" w:afterLines="50"/>
      <w:outlineLvl w:val="5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line="240" w:lineRule="auto" w:beforeLines="100" w:afterLines="50"/>
      <w:outlineLvl w:val="6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line="240" w:lineRule="auto" w:beforeLines="100" w:afterLines="50"/>
      <w:outlineLvl w:val="7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line="240" w:lineRule="auto" w:beforeLines="100" w:afterLines="50"/>
      <w:outlineLvl w:val="8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  <w:adjustRightIn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20" w:line="240" w:lineRule="auto" w:before="0"/>
      <w:contextualSpacing/>
      <w:pBdr>
        <w:bottom w:val="none" w:sz="0" w:space="0" w:color="auto"/>
        <w:top w:val="none" w:sz="0" w:space="0" w:color="auto"/>
        <w:left w:val="none" w:sz="0" w:space="0" w:color="auto"/>
        <w:right w:val="none" w:sz="0" w:space="0" w:color="auto"/>
      </w:pBdr>
      <w:snapToGrid w:val="0"/>
      <w:adjustRightInd w:val="0"/>
    </w:pPr>
    <w:rPr>
      <w:rFonts w:asciiTheme="majorHAnsi" w:eastAsiaTheme="majorEastAsia" w:hAnsiTheme="majorHAnsi" w:cstheme="majorBidi" w:ascii="黑体" w:hAnsi="黑体" w:eastAsia="黑体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  <w:adjustRightInd w:val="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64" w:lineRule="auto" w:after="0" w:beforeLines="50"/>
      <w:ind w:left="567" w:hanging="397"/>
      <w:contextualSpacing/>
      <w:jc w:val="both"/>
      <w:snapToGrid w:val="0"/>
      <w:adjustRightInd w:val="0"/>
    </w:pPr>
    <w:rPr>
      <w:rFonts w:ascii="仿宋_GB2312" w:hAnsi="仿宋_GB2312" w:eastAsia="仿宋_GB2312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line="288" w:lineRule="auto" w:beforeLines="50"/>
      <w:ind w:firstLine="480"/>
      <w:jc w:val="both"/>
      <w:snapToGrid w:val="0"/>
      <w:adjustRightIn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  <w:adjustRightIn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  <w:adjustRightIn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  <w:adjustRightIn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  <w:adjustRightIn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  <w:adjustRightIn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  <w:adjustRightIn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  <w:adjustRightIn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  <w:adjustRightIn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  <w:adjustRightIn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  <w:adjustRightIn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  <w:adjustRightIn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  <w:adjustRightIn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  <w:adjustRightIn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  <w:adjustRightIn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  <w:adjustRightIn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  <w:adjustRightIn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snapToGrid w:val="0"/>
      <w:adjustRightInd w:val="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  <w:snapToGrid w:val="0"/>
      <w:adjustRightIn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  <w:adjustRightIn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ULParagraph">
    <w:name w:val="UL Paragraph"/>
    <w:basedOn w:val="Normal"/>
    <w:pPr>
      <w:spacing w:line="264" w:lineRule="auto" w:after="0" w:beforeLines="50"/>
      <w:ind w:left="527" w:hanging="232"/>
      <w:jc w:val="both"/>
      <w:snapToGrid w:val="0"/>
      <w:adjustRightInd w:val="0"/>
    </w:pPr>
    <w:rPr>
      <w:rFonts w:ascii="仿宋_GB2312" w:hAnsi="仿宋_GB2312" w:eastAsia="仿宋_GB2312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