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黑体" w:hAnsi="黑体" w:eastAsia="黑体"/>
          <w:b/>
          <w:color w:val="000000"/>
          <w:sz w:val="36"/>
        </w:rPr>
        <w:t>测试文档：MD 转 DOCX 功能验证</w:t>
      </w:r>
    </w:p>
    <w:p>
      <w:pPr>
        <w:pStyle w:val="BodyText"/>
      </w:pPr>
      <w:r>
        <w:rPr>
          <w:rFonts w:ascii="仿宋_GB2312" w:hAnsi="仿宋_GB2312" w:eastAsia="仿宋_GB2312"/>
          <w:sz w:val="24"/>
        </w:rPr>
        <w:t>这是一个用于测试 Markdown 转 Word 功能的示例文档。</w:t>
      </w:r>
    </w:p>
    <w:p>
      <w:pPr>
        <w:pStyle w:val="Heading2"/>
      </w:pPr>
      <w:r>
        <w:rPr>
          <w:rFonts w:ascii="宋体" w:hAnsi="宋体" w:eastAsia="宋体"/>
          <w:color w:val="000000"/>
          <w:sz w:val="32"/>
        </w:rPr>
        <w:t>文本格式测试</w:t>
      </w:r>
    </w:p>
    <w:p>
      <w:pPr>
        <w:pStyle w:val="BodyText"/>
      </w:pPr>
      <w:r>
        <w:rPr>
          <w:rFonts w:ascii="仿宋_GB2312" w:hAnsi="仿宋_GB2312" w:eastAsia="仿宋_GB2312"/>
          <w:sz w:val="24"/>
        </w:rPr>
        <w:t>这是一段普通正文，包含</w:t>
      </w:r>
      <w:r>
        <w:rPr>
          <w:rFonts w:ascii="仿宋_GB2312" w:hAnsi="仿宋_GB2312" w:eastAsia="仿宋_GB2312"/>
          <w:b/>
          <w:sz w:val="24"/>
        </w:rPr>
        <w:t>加粗文本</w:t>
      </w:r>
      <w:r>
        <w:rPr>
          <w:rFonts w:ascii="仿宋_GB2312" w:hAnsi="仿宋_GB2312" w:eastAsia="仿宋_GB2312"/>
          <w:sz w:val="24"/>
        </w:rPr>
        <w:t>、</w:t>
      </w:r>
      <w:r>
        <w:rPr>
          <w:rFonts w:ascii="仿宋_GB2312" w:hAnsi="仿宋_GB2312" w:eastAsia="仿宋_GB2312"/>
          <w:i/>
          <w:sz w:val="24"/>
        </w:rPr>
        <w:t>斜体文本</w:t>
      </w:r>
      <w:r>
        <w:rPr>
          <w:rFonts w:ascii="仿宋_GB2312" w:hAnsi="仿宋_GB2312" w:eastAsia="仿宋_GB2312"/>
          <w:sz w:val="24"/>
        </w:rPr>
        <w:t>和</w:t>
      </w:r>
      <w:r>
        <w:rPr>
          <w:rFonts w:ascii="Consolas" w:hAnsi="Consolas"/>
          <w:sz w:val="20"/>
          <w:shd w:fill="F0F0F0" w:val="clear"/>
        </w:rPr>
        <w:t>行内代码</w:t>
      </w:r>
      <w:r>
        <w:rPr>
          <w:rFonts w:ascii="仿宋_GB2312" w:hAnsi="仿宋_GB2312" w:eastAsia="仿宋_GB2312"/>
          <w:sz w:val="24"/>
        </w:rPr>
        <w:t>。</w:t>
      </w:r>
    </w:p>
    <w:p>
      <w:pPr>
        <w:pStyle w:val="BodyText"/>
      </w:pPr>
      <w:r>
        <w:rPr>
          <w:rFonts w:ascii="仿宋_GB2312" w:hAnsi="仿宋_GB2312" w:eastAsia="仿宋_GB2312"/>
          <w:sz w:val="24"/>
        </w:rPr>
        <w:t>这是第二段正文，用于测试段落间距。</w:t>
      </w:r>
    </w:p>
    <w:p>
      <w:pPr>
        <w:pStyle w:val="Heading2"/>
      </w:pPr>
      <w:r>
        <w:rPr>
          <w:rFonts w:ascii="宋体" w:hAnsi="宋体" w:eastAsia="宋体"/>
          <w:color w:val="000000"/>
          <w:sz w:val="32"/>
        </w:rPr>
        <w:t>列表测试</w:t>
      </w:r>
    </w:p>
    <w:p>
      <w:pPr>
        <w:pStyle w:val="Heading3"/>
      </w:pPr>
      <w:r>
        <w:rPr>
          <w:rFonts w:ascii="宋体" w:hAnsi="宋体" w:eastAsia="宋体"/>
          <w:color w:val="000000"/>
          <w:sz w:val="28"/>
        </w:rPr>
        <w:t>无序列表</w:t>
      </w:r>
    </w:p>
    <w:p>
      <w:pPr>
        <w:pStyle w:val="ULParagraph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第一项内容</w:t>
      </w:r>
    </w:p>
    <w:p>
      <w:pPr>
        <w:pStyle w:val="ULParagraph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第二项内容</w:t>
      </w:r>
    </w:p>
    <w:p>
      <w:pPr>
        <w:pStyle w:val="ULParagraph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第三项内容</w:t>
      </w:r>
    </w:p>
    <w:p>
      <w:pPr>
        <w:pStyle w:val="ULParagraph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嵌套子项 A</w:t>
      </w:r>
    </w:p>
    <w:p>
      <w:pPr>
        <w:pStyle w:val="ULParagraph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嵌套子项 B</w:t>
      </w:r>
    </w:p>
    <w:p>
      <w:pPr>
        <w:pStyle w:val="Heading3"/>
      </w:pPr>
      <w:r>
        <w:rPr>
          <w:rFonts w:ascii="宋体" w:hAnsi="宋体" w:eastAsia="宋体"/>
          <w:color w:val="000000"/>
          <w:sz w:val="28"/>
        </w:rPr>
        <w:t>有序列表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1. </w:t>
      </w:r>
      <w:r>
        <w:rPr>
          <w:rFonts w:ascii="仿宋_GB2312" w:hAnsi="仿宋_GB2312" w:eastAsia="仿宋_GB2312"/>
          <w:sz w:val="24"/>
        </w:rPr>
        <w:t>步骤一：安装依赖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2. </w:t>
      </w:r>
      <w:r>
        <w:rPr>
          <w:rFonts w:ascii="仿宋_GB2312" w:hAnsi="仿宋_GB2312" w:eastAsia="仿宋_GB2312"/>
          <w:sz w:val="24"/>
        </w:rPr>
        <w:t>步骤二：配置参数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3. </w:t>
      </w:r>
      <w:r>
        <w:rPr>
          <w:rFonts w:ascii="仿宋_GB2312" w:hAnsi="仿宋_GB2312" w:eastAsia="仿宋_GB2312"/>
          <w:sz w:val="24"/>
        </w:rPr>
        <w:t>步骤三：启动服务</w:t>
      </w:r>
    </w:p>
    <w:p>
      <w:pPr>
        <w:pStyle w:val="Heading2"/>
      </w:pPr>
      <w:r>
        <w:rPr>
          <w:rFonts w:ascii="宋体" w:hAnsi="宋体" w:eastAsia="宋体"/>
          <w:color w:val="000000"/>
          <w:sz w:val="32"/>
        </w:rPr>
        <w:t>代码块测试</w:t>
      </w:r>
    </w:p>
    <w:p>
      <w:pPr>
        <w:shd w:fill="F5F5F5" w:val="clear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  <w:spacing w:before="120" w:after="120"/>
      </w:pPr>
      <w:r>
        <w:rPr>
          <w:rFonts w:ascii="Consolas" w:hAnsi="Consolas"/>
          <w:sz w:val="20"/>
        </w:rPr>
        <w:t>def hello_world():</w:t>
        <w:br/>
        <w:t xml:space="preserve">    print("Hello, World!")</w:t>
        <w:br/>
        <w:t xml:space="preserve">    return True</w:t>
      </w:r>
    </w:p>
    <w:p>
      <w:pPr>
        <w:pStyle w:val="Heading2"/>
      </w:pPr>
      <w:r>
        <w:rPr>
          <w:rFonts w:ascii="宋体" w:hAnsi="宋体" w:eastAsia="宋体"/>
          <w:color w:val="000000"/>
          <w:sz w:val="32"/>
        </w:rPr>
        <w:t>表格测试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负责人</w:t>
            </w:r>
          </w:p>
        </w:tc>
      </w:tr>
      <w:tr>
        <w:tc>
          <w:tcPr>
            <w:tcW w:type="dxa" w:w="2880"/>
          </w:tcPr>
          <w:p>
            <w:r>
              <w:t>模块A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张三</w:t>
            </w:r>
          </w:p>
        </w:tc>
      </w:tr>
      <w:tr>
        <w:tc>
          <w:tcPr>
            <w:tcW w:type="dxa" w:w="2880"/>
          </w:tcPr>
          <w:p>
            <w:r>
              <w:t>模块B</w:t>
            </w:r>
          </w:p>
        </w:tc>
        <w:tc>
          <w:tcPr>
            <w:tcW w:type="dxa" w:w="2880"/>
          </w:tcPr>
          <w:p>
            <w:r>
              <w:t>进行中</w:t>
            </w:r>
          </w:p>
        </w:tc>
        <w:tc>
          <w:tcPr>
            <w:tcW w:type="dxa" w:w="2880"/>
          </w:tcPr>
          <w:p>
            <w:r>
              <w:t>李四</w:t>
            </w:r>
          </w:p>
        </w:tc>
      </w:tr>
      <w:tr>
        <w:tc>
          <w:tcPr>
            <w:tcW w:type="dxa" w:w="2880"/>
          </w:tcPr>
          <w:p>
            <w:r>
              <w:t>模块C</w:t>
            </w:r>
          </w:p>
        </w:tc>
        <w:tc>
          <w:tcPr>
            <w:tcW w:type="dxa" w:w="2880"/>
          </w:tcPr>
          <w:p>
            <w:r>
              <w:t>待开始</w:t>
            </w:r>
          </w:p>
        </w:tc>
        <w:tc>
          <w:tcPr>
            <w:tcW w:type="dxa" w:w="2880"/>
          </w:tcPr>
          <w:p>
            <w:r>
              <w:t>王五</w:t>
            </w:r>
          </w:p>
        </w:tc>
      </w:tr>
    </w:tbl>
    <w:p>
      <w:pPr>
        <w:pStyle w:val="Heading2"/>
      </w:pPr>
      <w:r>
        <w:rPr>
          <w:rFonts w:ascii="宋体" w:hAnsi="宋体" w:eastAsia="宋体"/>
          <w:color w:val="000000"/>
          <w:sz w:val="32"/>
        </w:rPr>
        <w:t>引用测试</w:t>
      </w:r>
    </w:p>
    <w:p>
      <w:pPr>
        <w:pBdr>
          <w:left w:val="single" w:sz="18" w:space="8" w:color="4A90D9"/>
        </w:pBdr>
        <w:shd w:fill="F0F5FA" w:val="clear"/>
        <w:ind w:left="567"/>
      </w:pPr>
      <w:r>
        <w:rPr>
          <w:rFonts w:ascii="仿宋_GB2312" w:hAnsi="仿宋_GB2312" w:eastAsia="仿宋_GB2312"/>
          <w:sz w:val="24"/>
        </w:rPr>
        <w:t>这是一段引用文本。</w:t>
      </w:r>
      <w:r>
        <w:br/>
      </w:r>
      <w:r>
        <w:rPr>
          <w:rFonts w:ascii="仿宋_GB2312" w:hAnsi="仿宋_GB2312" w:eastAsia="仿宋_GB2312"/>
          <w:sz w:val="24"/>
        </w:rPr>
        <w:t>可以包含多行内容。</w:t>
      </w:r>
    </w:p>
    <w:p>
      <w:pPr>
        <w:pStyle w:val="Heading2"/>
      </w:pPr>
      <w:r>
        <w:rPr>
          <w:rFonts w:ascii="宋体" w:hAnsi="宋体" w:eastAsia="宋体"/>
          <w:color w:val="000000"/>
          <w:sz w:val="32"/>
        </w:rPr>
        <w:t>分隔线测试</w:t>
      </w:r>
    </w:p>
    <w:p>
      <w:pPr>
        <w:pBdr>
          <w:bottom w:val="single" w:sz="12" w:space="1" w:color="AAAAAA"/>
        </w:pBdr>
      </w:pPr>
    </w:p>
    <w:p>
      <w:pPr>
        <w:pStyle w:val="Heading2"/>
      </w:pPr>
      <w:r>
        <w:rPr>
          <w:rFonts w:ascii="宋体" w:hAnsi="宋体" w:eastAsia="宋体"/>
          <w:color w:val="000000"/>
          <w:sz w:val="32"/>
        </w:rPr>
        <w:t>链接测试</w:t>
      </w:r>
    </w:p>
    <w:p>
      <w:pPr>
        <w:pStyle w:val="BodyText"/>
      </w:pPr>
      <w:r>
        <w:rPr>
          <w:rFonts w:ascii="仿宋_GB2312" w:hAnsi="仿宋_GB2312" w:eastAsia="仿宋_GB2312"/>
          <w:sz w:val="24"/>
        </w:rPr>
        <w:t xml:space="preserve">这是一个 </w:t>
      </w:r>
      <w:r>
        <w:rPr>
          <w:rFonts w:ascii="仿宋_GB2312" w:hAnsi="仿宋_GB2312" w:eastAsia="仿宋_GB2312"/>
          <w:color w:val="0563C1"/>
          <w:sz w:val="24"/>
          <w:u w:val="single"/>
        </w:rPr>
        <w:t>链接示例</w:t>
      </w:r>
      <w:r>
        <w:rPr>
          <w:rFonts w:ascii="仿宋_GB2312" w:hAnsi="仿宋_GB2312" w:eastAsia="仿宋_GB2312"/>
          <w:sz w:val="24"/>
        </w:rPr>
        <w:t xml:space="preserve"> 。</w:t>
      </w:r>
    </w:p>
    <w:p>
      <w:pPr>
        <w:pStyle w:val="Heading2"/>
      </w:pPr>
      <w:r>
        <w:rPr>
          <w:rFonts w:ascii="宋体" w:hAnsi="宋体" w:eastAsia="宋体"/>
          <w:color w:val="000000"/>
          <w:sz w:val="32"/>
        </w:rPr>
        <w:t>四级标题测试</w:t>
      </w:r>
    </w:p>
    <w:p>
      <w:pPr>
        <w:pStyle w:val="Heading4"/>
      </w:pPr>
      <w:r>
        <w:rPr>
          <w:rFonts w:ascii="宋体" w:hAnsi="宋体" w:eastAsia="宋体"/>
          <w:color w:val="000000"/>
          <w:sz w:val="24"/>
        </w:rPr>
        <w:t>这是四级标题</w:t>
      </w:r>
    </w:p>
    <w:p>
      <w:pPr>
        <w:pStyle w:val="BodyText"/>
      </w:pPr>
      <w:r>
        <w:rPr>
          <w:rFonts w:ascii="仿宋_GB2312" w:hAnsi="仿宋_GB2312" w:eastAsia="仿宋_GB2312"/>
          <w:sz w:val="24"/>
        </w:rPr>
        <w:t>正文内容。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t xml:space="preserve">第 </w:t>
    </w:r>
    <w:r>
      <w:rPr>
        <w:rFonts w:ascii="宋体" w:hAnsi="宋体" w:eastAsia="宋体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宋体" w:hAnsi="宋体" w:eastAsia="宋体"/>
        <w:sz w:val="18"/>
      </w:rPr>
      <w:t xml:space="preserve"> 页 共 </w:t>
    </w:r>
    <w:r>
      <w:rPr>
        <w:rFonts w:ascii="宋体" w:hAnsi="宋体" w:eastAsia="宋体"/>
        <w:sz w:val="18"/>
      </w:rPr>
      <w:fldChar w:fldCharType="begin"/>
      <w:instrText xml:space="preserve"> NUMPAGES </w:instrText>
      <w:fldChar w:fldCharType="separate"/>
      <w:fldChar w:fldCharType="end"/>
    </w:r>
    <w:r>
      <w:rPr>
        <w:rFonts w:ascii="宋体" w:hAnsi="宋体" w:eastAsia="宋体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  <w:jc w:val="both"/>
      <w:snapToGrid w:val="0"/>
      <w:adjustRightInd w:val="0"/>
    </w:pPr>
    <w:rPr>
      <w:rFonts w:ascii="仿宋_GB2312" w:hAnsi="仿宋_GB2312" w:eastAsia="仿宋_GB231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  <w:adjustRightIn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  <w:adjustRightIn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320" w:line="240" w:lineRule="auto"/>
      <w:outlineLvl w:val="0"/>
      <w:pBdr>
        <w:bottom w:val="none" w:sz="0" w:space="0" w:color="auto"/>
        <w:top w:val="none" w:sz="0" w:space="0" w:color="auto"/>
        <w:left w:val="none" w:sz="0" w:space="0" w:color="auto"/>
        <w:right w:val="none" w:sz="0" w:space="0" w:color="auto"/>
      </w:pBdr>
      <w:snapToGrid w:val="0"/>
      <w:adjustRightInd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line="240" w:lineRule="auto" w:beforeLines="100" w:afterLines="50"/>
      <w:outlineLvl w:val="1"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line="240" w:lineRule="auto" w:beforeLines="100" w:afterLines="50"/>
      <w:outlineLvl w:val="2"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line="240" w:lineRule="auto" w:beforeLines="100" w:afterLines="50"/>
      <w:outlineLvl w:val="3"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line="240" w:lineRule="auto" w:beforeLines="100" w:afterLines="50"/>
      <w:outlineLvl w:val="4"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line="240" w:lineRule="auto" w:beforeLines="100" w:afterLines="50"/>
      <w:outlineLvl w:val="5"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line="240" w:lineRule="auto" w:beforeLines="100" w:afterLines="50"/>
      <w:outlineLvl w:val="6"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line="240" w:lineRule="auto" w:beforeLines="100" w:afterLines="50"/>
      <w:outlineLvl w:val="7"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line="240" w:lineRule="auto" w:beforeLines="100" w:afterLines="50"/>
      <w:outlineLvl w:val="8"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  <w:adjustRightIn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 w:beforeLines="100" w:afterLines="50"/>
      <w:contextualSpacing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  <w:adjustRightInd w:val="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64" w:lineRule="auto" w:after="0" w:beforeLines="50"/>
      <w:ind w:left="567" w:hanging="397"/>
      <w:contextualSpacing/>
      <w:jc w:val="both"/>
      <w:snapToGrid w:val="0"/>
      <w:adjustRightInd w:val="0"/>
    </w:pPr>
    <w:rPr>
      <w:rFonts w:ascii="仿宋_GB2312" w:hAnsi="仿宋_GB2312" w:eastAsia="仿宋_GB2312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line="288" w:lineRule="auto" w:beforeLines="50"/>
      <w:ind w:firstLine="480"/>
      <w:jc w:val="both"/>
      <w:snapToGrid w:val="0"/>
      <w:adjustRightIn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  <w:adjustRightIn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  <w:adjustRightIn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  <w:adjustRightIn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  <w:adjustRightIn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  <w:adjustRightIn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  <w:adjustRightInd w:val="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  <w:adjustRightIn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  <w:adjustRightIn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  <w:adjustRightInd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  <w:adjustRightIn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  <w:adjustRightIn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  <w:adjustRightIn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  <w:adjustRightIn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  <w:adjustRightIn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  <w:adjustRightIn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  <w:adjustRightIn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snapToGrid w:val="0"/>
      <w:adjustRightInd w:val="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  <w:snapToGrid w:val="0"/>
      <w:adjustRightIn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  <w:adjustRightIn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ULParagraph">
    <w:name w:val="UL Paragraph"/>
    <w:basedOn w:val="Normal"/>
    <w:pPr>
      <w:spacing w:line="264" w:lineRule="auto" w:after="0" w:beforeLines="50"/>
      <w:ind w:left="527" w:hanging="232"/>
      <w:jc w:val="both"/>
      <w:snapToGrid w:val="0"/>
      <w:adjustRightInd w:val="0"/>
    </w:pPr>
    <w:rPr>
      <w:rFonts w:ascii="仿宋_GB2312" w:hAnsi="仿宋_GB2312" w:eastAsia="仿宋_GB2312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