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Appendix 1 Supplementary Methods and Search Documentation</w:t>
      </w:r>
    </w:p>
    <w:p>
      <w:r>
        <w:t>Contents: 1. Search documentation; 2. Prioritization, reconciliation and illustrative near-miss records; 3. Audit definitions; 4. Statistical details; 5. Confirmed review-process details and remaining limits.</w:t>
      </w:r>
    </w:p>
    <w:p>
      <w:pPr>
        <w:pStyle w:val="Heading1"/>
      </w:pPr>
      <w:r>
        <w:t>1 Search documentation</w:t>
      </w:r>
    </w:p>
    <w:p>
      <w:r>
        <w:t>The final three-database reconciliation comprises 10,061 within-database unique records before cross-database deduplication, 2,799 cross-database duplicates and 7,262 unique verification records. Five retained PubMed CSV exports were assembled on 24 May 2026 (1,125 + 34 + 588 + 3,029 + 351 = 5,127 raw records). The final Embase and Web of Science Core Collection verification searches and exports were completed on 7 June 2026; eight Embase CSV files contained 3,094 records, and four Web of Science XLS files contained 3,431 records. No additional language, publication-year or document-type restriction was documented in the retained final verification logs. The strategies below are the documented database-specific strategies; the local evidence verifies the retained export sets and counts but does not preserve every interface-history screen or platform-specific setting. Counts were not reconstructed by rerunning the searches.</w:t>
      </w:r>
    </w:p>
    <w:p>
      <w:pPr>
        <w:pStyle w:val="Heading2"/>
      </w:pPr>
      <w:r>
        <w:t>PubMed</w:t>
      </w:r>
    </w:p>
    <w:p>
      <w:r>
        <w:t>("lung adenocarcinoma"[Title/Abstract] OR "LUAD"[Title/Abstract] OR "adenocarcinoma of lung"[Title/Abstract])</w:t>
        <w:br/>
        <w:t>AND</w:t>
        <w:br/>
        <w:t>("prognostic signature"[Title/Abstract] OR "gene signature"[Title/Abstract] OR "risk signature"[Title/Abstract] OR "prognostic model"[Title/Abstract] OR "risk model"[Title/Abstract] OR "risk score"[Title/Abstract] OR "survival model"[Title/Abstract] OR "multigene signature"[Title/Abstract] OR "multi-gene signature"[Title/Abstract])</w:t>
        <w:br/>
        <w:t>AND</w:t>
        <w:br/>
        <w:t>("transcriptome"[Title/Abstract] OR "transcriptomic"[Title/Abstract] OR "gene expression"[Title/Abstract] OR mRNA[Title/Abstract] OR lncRNA[Title/Abstract] OR microRNA[Title/Abstract] OR miRNA[Title/Abstract] OR circRNA[Title/Abstract] OR "RNA-seq"[Title/Abstract] OR "RNA sequencing"[Title/Abstract])</w:t>
        <w:br/>
        <w:t>AND</w:t>
        <w:br/>
        <w:t>("overall survival"[Title/Abstract] OR survival[Title/Abstract] OR prognosis[Title/Abstract] OR prognostic[Title/Abstract] OR "disease-free survival"[Title/Abstract] OR "recurrence-free survival"[Title/Abstract] OR "progression-free survival"[Title/Abstract])</w:t>
      </w:r>
    </w:p>
    <w:p>
      <w:pPr>
        <w:pStyle w:val="Heading2"/>
      </w:pPr>
      <w:r>
        <w:t>Embase</w:t>
      </w:r>
    </w:p>
    <w:p>
      <w:r>
        <w:t>('lung adenocarcinoma'/exp OR 'lung adenocarcinoma':ti,ab OR 'pulmonary adenocarcinoma':ti,ab OR luad:ti,ab OR 'non small cell lung cancer':ti,ab OR nsclc:ti,ab) AND ('transcriptomics'/exp OR transcriptomic*:ti,ab OR transcriptome*:ti,ab OR 'gene expression':ti,ab OR mrna:ti,ab OR lncrna:ti,ab OR mirna:ti,ab OR microrna:ti,ab OR 'rna seq':ti,ab OR 'rna sequencing':ti,ab OR microarray:ti,ab OR 'expression profile*':ti,ab) AND ('prognosis'/exp OR prognos*:ti,ab OR survival:ti,ab OR 'overall survival':ti,ab OR 'disease free survival':ti,ab OR 'recurrence free survival':ti,ab OR 'progression free survival':ti,ab OR outcome*:ti,ab) AND (signature*:ti,ab OR 'risk score':ti,ab OR 'risk model':ti,ab OR 'prognostic model':ti,ab OR 'prediction model':ti,ab OR classifier*:ti,ab OR nomogram*:ti,ab OR 'gene signature':ti,ab OR 'molecular signature':ti,ab)</w:t>
      </w:r>
    </w:p>
    <w:p>
      <w:pPr>
        <w:pStyle w:val="Heading2"/>
      </w:pPr>
      <w:r>
        <w:t>Web of Science Core Collection</w:t>
      </w:r>
    </w:p>
    <w:p>
      <w:r>
        <w:t>TS=(("lung adenocarcinoma" OR "pulmonary adenocarcinoma" OR LUAD OR "non-small cell lung cancer" OR NSCLC) AND (transcriptomic* OR transcriptome* OR "gene expression" OR mRNA OR lncRNA OR miRNA OR microRNA OR "RNA-seq" OR "RNA sequencing" OR microarray OR "expression profile*") AND (prognosis OR prognostic OR survival OR "overall survival" OR "disease-free survival" OR "recurrence-free survival" OR "progression-free survival" OR outcome*) AND (signature* OR "risk score" OR "risk model" OR "prognostic model" OR "prediction model" OR classifier* OR nomogram* OR "gene signature" OR "molecular signature"))</w:t>
      </w:r>
    </w:p>
    <w:p>
      <w:pPr>
        <w:pStyle w:val="Heading2"/>
      </w:pPr>
      <w:r>
        <w:t>Contextual update</w:t>
      </w:r>
    </w:p>
    <w:p>
      <w:r>
        <w:t>A contextual update dated 31 August 2026 informed the Introduction and Discussion only. It did not add studies to the predefined audit corpus. The retained query was:</w:t>
      </w:r>
    </w:p>
    <w:p>
      <w:r>
        <w:t>(lung adenocarcinoma[Title/Abstract] OR LUAD[Title/Abstract]) AND (prognostic signature[Title/Abstract] OR prognostic model[Title/Abstract] OR risk signature[Title/Abstract]) AND (transcriptomic[Title/Abstract] OR transcriptome[Title/Abstract] OR RNA-seq[Title/Abstract] OR single-cell[Title/Abstract] OR spatial transcriptomics[Title/Abstract] OR machine learning[Title/Abstract] OR deep learning[Title/Abstract]) AND 2026[pdat]</w:t>
      </w:r>
    </w:p>
    <w:p>
      <w:pPr>
        <w:pStyle w:val="Heading1"/>
      </w:pPr>
      <w:r>
        <w:t>2 Prioritization and reconciliation</w:t>
      </w:r>
    </w:p>
    <w:p>
      <w:r>
        <w:t>The existing A/B queue contained 1,234 records: 736 A-priority and 498 B-category records. The 736 A-priority records comprised 460 P0/P1 full-text targets and 276 P2/P3 boundary or deferred records (113 + 163). The 282 manually classified exclusions left 178 audited articles. The 6,028 difference between the final verification set and the A/B queue is not a new set of independently adjudicated exclusions. Record linkage matched 171 of the 178 audited articles to the final verification set; seven unmatched bibliographic records remain recorded in the reconciliation workbook. These record-linkage observations do not change the downstream 178/57/27/10 counts.</w:t>
      </w:r>
    </w:p>
    <w:p>
      <w:r>
        <w:t>The 282 manual exclusions were: non-transcriptomic signatures, 17; non-prognostic survival signatures, 89; unavailable full text or supplement, 42; duplicate/review/meta-analysis/secondary reports, 66; and mixed or pan-cancer studies without a separable LUAD model, 68.</w:t>
      </w:r>
    </w:p>
    <w:p>
      <w:r>
        <w:t>The following records are verified illustrative near misses recovered from the retained title/abstract triage log. They demonstrate how adjacent imaging, methylation, protein, histologic and treatment-response studies were separated from the target question. They are not presented as a reconstructed row-level list of the 282 manually classified full-text exclusions. Bibliographic identifiers were checked against PubMed on 12 October 2026.</w:t>
      </w:r>
    </w:p>
    <w:p>
      <w:pPr>
        <w:pStyle w:val="Heading2"/>
      </w:pPr>
      <w:r>
        <w:t>Illustrative near-miss records</w:t>
      </w:r>
    </w:p>
    <w:tbl>
      <w:tblPr>
        <w:tblStyle w:val="TableGrid"/>
        <w:tblW w:type="auto" w:w="0"/>
        <w:tblLayout w:type="fixed"/>
        <w:tblLook w:firstColumn="1" w:firstRow="1" w:lastColumn="0" w:lastRow="0" w:noHBand="0" w:noVBand="1" w:val="04A0"/>
      </w:tblPr>
      <w:tblGrid>
        <w:gridCol w:w="4968"/>
        <w:gridCol w:w="4968"/>
      </w:tblGrid>
      <w:tr>
        <w:trPr>
          <w:tblHeader w:val="true"/>
        </w:trPr>
        <w:tc>
          <w:tcPr>
            <w:tcW w:type="dxa" w:w="6120"/>
            <w:vAlign w:val="center"/>
            <w:tcMar>
              <w:top w:w="70" w:type="dxa"/>
              <w:start w:w="90" w:type="dxa"/>
              <w:bottom w:w="70" w:type="dxa"/>
              <w:end w:w="90" w:type="dxa"/>
            </w:tcMar>
            <w:shd w:fill="44546A"/>
          </w:tcPr>
          <w:p>
            <w:pPr>
              <w:spacing w:after="40" w:line="240" w:lineRule="auto"/>
            </w:pPr>
            <w:r>
              <w:rPr>
                <w:rFonts w:ascii="Arial" w:hAnsi="Arial"/>
                <w:b/>
                <w:color w:val="FFFFFF"/>
                <w:sz w:val="16"/>
              </w:rPr>
              <w:t>Verified record</w:t>
            </w:r>
          </w:p>
        </w:tc>
        <w:tc>
          <w:tcPr>
            <w:tcW w:type="dxa" w:w="3456"/>
            <w:vAlign w:val="center"/>
            <w:tcMar>
              <w:top w:w="70" w:type="dxa"/>
              <w:start w:w="90" w:type="dxa"/>
              <w:bottom w:w="70" w:type="dxa"/>
              <w:end w:w="90" w:type="dxa"/>
            </w:tcMar>
            <w:shd w:fill="44546A"/>
          </w:tcPr>
          <w:p>
            <w:pPr>
              <w:spacing w:after="40" w:line="240" w:lineRule="auto"/>
            </w:pPr>
            <w:r>
              <w:rPr>
                <w:rFonts w:ascii="Arial" w:hAnsi="Arial"/>
                <w:b/>
                <w:color w:val="FFFFFF"/>
                <w:sz w:val="16"/>
              </w:rPr>
              <w:t>Reason outside the target audit question</w:t>
            </w:r>
          </w:p>
        </w:tc>
      </w:tr>
      <w:tr>
        <w:tc>
          <w:tcPr>
            <w:tcW w:type="dxa" w:w="6120"/>
            <w:vAlign w:val="center"/>
            <w:tcMar>
              <w:top w:w="70" w:type="dxa"/>
              <w:start w:w="90" w:type="dxa"/>
              <w:bottom w:w="70" w:type="dxa"/>
              <w:end w:w="90" w:type="dxa"/>
            </w:tcMar>
          </w:tcPr>
          <w:p>
            <w:pPr>
              <w:spacing w:after="40" w:line="240" w:lineRule="auto"/>
            </w:pPr>
            <w:r>
              <w:rPr>
                <w:rFonts w:ascii="Arial" w:hAnsi="Arial"/>
                <w:sz w:val="16"/>
              </w:rPr>
              <w:t>Dai C, Huang B, Yu Z, et al. Deep Learning Radiomic Signature Predicts the Overall Survival of Patients with Lung Adenocarcinoma by Reflecting the Tumor Heterogeneity and Microenvironment. Acad Radiol. 2026. PMID: 41073175; doi:10.1016/j.acra.2025.09.033.</w:t>
            </w:r>
          </w:p>
        </w:tc>
        <w:tc>
          <w:tcPr>
            <w:tcW w:type="dxa" w:w="3456"/>
            <w:vAlign w:val="center"/>
            <w:tcMar>
              <w:top w:w="70" w:type="dxa"/>
              <w:start w:w="90" w:type="dxa"/>
              <w:bottom w:w="70" w:type="dxa"/>
              <w:end w:w="90" w:type="dxa"/>
            </w:tcMar>
          </w:tcPr>
          <w:p>
            <w:pPr>
              <w:spacing w:after="40" w:line="240" w:lineRule="auto"/>
            </w:pPr>
            <w:r>
              <w:rPr>
                <w:rFonts w:ascii="Arial" w:hAnsi="Arial"/>
                <w:sz w:val="16"/>
              </w:rPr>
              <w:t>CT radiomic/deep-learning imaging signature; not a transcriptomic gene-expression score.</w:t>
            </w:r>
          </w:p>
        </w:tc>
      </w:tr>
      <w:tr>
        <w:tc>
          <w:tcPr>
            <w:tcW w:type="dxa" w:w="6120"/>
            <w:vAlign w:val="center"/>
            <w:tcMar>
              <w:top w:w="70" w:type="dxa"/>
              <w:start w:w="90" w:type="dxa"/>
              <w:bottom w:w="70" w:type="dxa"/>
              <w:end w:w="90" w:type="dxa"/>
            </w:tcMar>
          </w:tcPr>
          <w:p>
            <w:pPr>
              <w:spacing w:after="40" w:line="240" w:lineRule="auto"/>
            </w:pPr>
            <w:r>
              <w:rPr>
                <w:rFonts w:ascii="Arial" w:hAnsi="Arial"/>
                <w:sz w:val="16"/>
              </w:rPr>
              <w:t>Li H, Luo F, Sun X, et al. A differentially-methylated-region signature predicts the recurrence risk for patients with early stage lung adenocarcinoma. Aging. 2024. PMID: 39560475; doi:10.18632/aging.206139.</w:t>
            </w:r>
          </w:p>
        </w:tc>
        <w:tc>
          <w:tcPr>
            <w:tcW w:type="dxa" w:w="3456"/>
            <w:vAlign w:val="center"/>
            <w:tcMar>
              <w:top w:w="70" w:type="dxa"/>
              <w:start w:w="90" w:type="dxa"/>
              <w:bottom w:w="70" w:type="dxa"/>
              <w:end w:w="90" w:type="dxa"/>
            </w:tcMar>
          </w:tcPr>
          <w:p>
            <w:pPr>
              <w:spacing w:after="40" w:line="240" w:lineRule="auto"/>
            </w:pPr>
            <w:r>
              <w:rPr>
                <w:rFonts w:ascii="Arial" w:hAnsi="Arial"/>
                <w:sz w:val="16"/>
              </w:rPr>
              <w:t>DNA methylation/DMR signature; not a transcriptomic expression signature.</w:t>
            </w:r>
          </w:p>
        </w:tc>
      </w:tr>
      <w:tr>
        <w:tc>
          <w:tcPr>
            <w:tcW w:type="dxa" w:w="6120"/>
            <w:vAlign w:val="center"/>
            <w:tcMar>
              <w:top w:w="70" w:type="dxa"/>
              <w:start w:w="90" w:type="dxa"/>
              <w:bottom w:w="70" w:type="dxa"/>
              <w:end w:w="90" w:type="dxa"/>
            </w:tcMar>
          </w:tcPr>
          <w:p>
            <w:pPr>
              <w:spacing w:after="40" w:line="240" w:lineRule="auto"/>
            </w:pPr>
            <w:r>
              <w:rPr>
                <w:rFonts w:ascii="Arial" w:hAnsi="Arial"/>
                <w:sz w:val="16"/>
              </w:rPr>
              <w:t>Martinez-Terroba E, Behrens C, de Miguel FJ, et al. A novel protein-based prognostic signature improves risk stratification to guide clinical management in early-stage lung adenocarcinoma patients. J Pathol. 2018. PMID: 29756233; doi:10.1002/path.5096.</w:t>
            </w:r>
          </w:p>
        </w:tc>
        <w:tc>
          <w:tcPr>
            <w:tcW w:type="dxa" w:w="3456"/>
            <w:vAlign w:val="center"/>
            <w:tcMar>
              <w:top w:w="70" w:type="dxa"/>
              <w:start w:w="90" w:type="dxa"/>
              <w:bottom w:w="70" w:type="dxa"/>
              <w:end w:w="90" w:type="dxa"/>
            </w:tcMar>
          </w:tcPr>
          <w:p>
            <w:pPr>
              <w:spacing w:after="40" w:line="240" w:lineRule="auto"/>
            </w:pPr>
            <w:r>
              <w:rPr>
                <w:rFonts w:ascii="Arial" w:hAnsi="Arial"/>
                <w:sz w:val="16"/>
              </w:rPr>
              <w:t>Protein-based signature; outside the transcriptomic expression scope.</w:t>
            </w:r>
          </w:p>
        </w:tc>
      </w:tr>
      <w:tr>
        <w:tc>
          <w:tcPr>
            <w:tcW w:type="dxa" w:w="6120"/>
            <w:vAlign w:val="center"/>
            <w:tcMar>
              <w:top w:w="70" w:type="dxa"/>
              <w:start w:w="90" w:type="dxa"/>
              <w:bottom w:w="70" w:type="dxa"/>
              <w:end w:w="90" w:type="dxa"/>
            </w:tcMar>
          </w:tcPr>
          <w:p>
            <w:pPr>
              <w:spacing w:after="40" w:line="240" w:lineRule="auto"/>
            </w:pPr>
            <w:r>
              <w:rPr>
                <w:rFonts w:ascii="Arial" w:hAnsi="Arial"/>
                <w:sz w:val="16"/>
              </w:rPr>
              <w:t>Warth A, Muley T, Meister M, et al. The novel histologic IASLC/ATS/ERS classification system of lung adenocarcinoma is a stage-independent predictor of survival. J Clin Oncol. 2012. PMID: 22393100; doi:10.1200/JCO.2011.37.2185.</w:t>
            </w:r>
          </w:p>
        </w:tc>
        <w:tc>
          <w:tcPr>
            <w:tcW w:type="dxa" w:w="3456"/>
            <w:vAlign w:val="center"/>
            <w:tcMar>
              <w:top w:w="70" w:type="dxa"/>
              <w:start w:w="90" w:type="dxa"/>
              <w:bottom w:w="70" w:type="dxa"/>
              <w:end w:w="90" w:type="dxa"/>
            </w:tcMar>
          </w:tcPr>
          <w:p>
            <w:pPr>
              <w:spacing w:after="40" w:line="240" w:lineRule="auto"/>
            </w:pPr>
            <w:r>
              <w:rPr>
                <w:rFonts w:ascii="Arial" w:hAnsi="Arial"/>
                <w:sz w:val="16"/>
              </w:rPr>
              <w:t>Histomorphologic classification rather than a transcriptomic multigene risk score.</w:t>
            </w:r>
          </w:p>
        </w:tc>
      </w:tr>
      <w:tr>
        <w:tc>
          <w:tcPr>
            <w:tcW w:type="dxa" w:w="6120"/>
            <w:vAlign w:val="center"/>
            <w:tcMar>
              <w:top w:w="70" w:type="dxa"/>
              <w:start w:w="90" w:type="dxa"/>
              <w:bottom w:w="70" w:type="dxa"/>
              <w:end w:w="90" w:type="dxa"/>
            </w:tcMar>
          </w:tcPr>
          <w:p>
            <w:pPr>
              <w:spacing w:after="40" w:line="240" w:lineRule="auto"/>
            </w:pPr>
            <w:r>
              <w:rPr>
                <w:rFonts w:ascii="Arial" w:hAnsi="Arial"/>
                <w:sz w:val="16"/>
              </w:rPr>
              <w:t>Qi L, Li Y, Qin Y, et al. An individualised signature for predicting response with concordant survival benefit for lung adenocarcinoma patients receiving platinum-based chemotherapy. Br J Cancer. 2016. PMID: 27855439; doi:10.1038/bjc.2016.370.</w:t>
            </w:r>
          </w:p>
        </w:tc>
        <w:tc>
          <w:tcPr>
            <w:tcW w:type="dxa" w:w="3456"/>
            <w:vAlign w:val="center"/>
            <w:tcMar>
              <w:top w:w="70" w:type="dxa"/>
              <w:start w:w="90" w:type="dxa"/>
              <w:bottom w:w="70" w:type="dxa"/>
              <w:end w:w="90" w:type="dxa"/>
            </w:tcMar>
          </w:tcPr>
          <w:p>
            <w:pPr>
              <w:spacing w:after="40" w:line="240" w:lineRule="auto"/>
            </w:pPr>
            <w:r>
              <w:rPr>
                <w:rFonts w:ascii="Arial" w:hAnsi="Arial"/>
                <w:sz w:val="16"/>
              </w:rPr>
              <w:t>Primarily a treatment-response predictive signature; retained as a boundary example rather than a general prognostic-signature audit target.</w:t>
            </w:r>
          </w:p>
        </w:tc>
      </w:tr>
    </w:tbl>
    <w:p>
      <w:pPr>
        <w:pStyle w:val="Heading1"/>
      </w:pPr>
      <w:r>
        <w:t>3 Audit definitions</w:t>
      </w:r>
    </w:p>
    <w:p>
      <w:r>
        <w:t>The audit used the following study-specific evidence labels: L0, insufficient reporting or lack of formula reproducibility; L1, formula reproducibility; L2, external scoreability; L3, score portability; L4, potential transportability of a reported cutoff; and L5, a candidate selected for further clinical-deployability evaluation. These legacy labels describe the audit classification. In particular, L5 does not indicate completed prospective validation or readiness for clinical use. The separately specified deployability scorecard below uses stricter stage names; an L5 audit candidate may therefore remain only threshold-transportable under the scorecard.</w:t>
      </w:r>
    </w:p>
    <w:p>
      <w:r>
        <w:t>The 0-10 reporting-completeness score, 0-20 deployability scorecard and 0-20 AI-readiness measure are distinct. Full domain criteria and candidate values are indexed in Appendix 3. The adapted concern-assessment decision rules are Table S1. Mixed/non-OS endpoints are classified as unclear when compared with GEO OS testing, while absent endpoint reporting is high concern.</w:t>
      </w:r>
    </w:p>
    <w:p>
      <w:pPr>
        <w:pStyle w:val="Heading1"/>
      </w:pPr>
      <w:r>
        <w:t>4 Statistical details</w:t>
      </w:r>
    </w:p>
    <w:p>
      <w:r>
        <w:t>Clinical-only and clinical-plus-risk Cox models used the same complete cases within each cohort. Risk score per SD was included in the latter model. Age per SD, male sex and stage per SD were included when at least 50 samples had data and the covariate varied within the cohort. Only models containing at least one clinical covariate contributed to clinical-adjustment or incremental-value summaries. Ten risk-score-only fits in GSE3141 were therefore excluded from those summaries, leaving 65 clinical-covariate comparisons. The Wald P value for the adjusted risk-score coefficient and the likelihood-ratio P value for adding one risk-score parameter address different tests and are reported separately. Cohort-level estimates, 95% confidence intervals, P values, sample sizes and included covariates are listed in Table S3 (Appendix 3).</w:t>
      </w:r>
    </w:p>
    <w:p>
      <w:r>
        <w:t>Sensitivity analyses examined removal of the training-overlap exclusion (thereby allowing previously excluded training-overlap tests), restriction to signatures with overall survival (OS) as the sole source endpoint, restriction to tests with at least 100 scored samples, platform stratification and leave-one-cohort-out summaries among primary candidates. The analysis unit was a signature-cohort test, not a distinct patient or an additional independent cohort. Fixed-cutoff percentile drift and single-group collapse were also summarized. The overlap sensitivity reran the scoring pipeline separately from the primary analysis. Bootstrap 95% confidence intervals were calculated for medians, and Wilson intervals for proportions. The leave-one-cohort-out audit summarized performance after omitting one cohort; it was not a nested external model-selection procedure.</w:t>
      </w:r>
    </w:p>
    <w:p>
      <w:r>
        <w:t>The archived analysis environment used pandas 3.0.0, numpy 2.3.5, matplotlib 3.10.8, scipy 1.17.0, openpyxl 3.1.5, PyMuPDF 1.27.2.3 and python-docx 1.2.0. Survival calculations were implemented in the archived project scripts. The deployability and AI-readiness scores were rule-based audit measures. The exploratory DeepSurv/Cox-nnet-style benchmark used a one-hidden-layer numpy implementation with Cox partial-likelihood loss and L2 regularization. Random initialization and bootstrap sampling used fixed seeds for reproducibility; deterministic execution under a fixed seed does not imply the absence of random sampling. Bootstrap summaries used 5,000 resamples with base seed 20260626. The original neural-network tuning seeds were 17 + feature count + hidden-unit count, with refitting seeds 101 + feature count + hidden-unit count; the optimization extension used the analogous bases 700 and 1700. Model configurations and analysis outputs are provided in Appendix 3.</w:t>
      </w:r>
    </w:p>
    <w:p>
      <w:r>
        <w:t>The source paper for A131 reports a cutoff of -0.366. This negative value was already used in the saved GEO output; the positive value in the submitted Table 1 was a transcription error. GSE13213 has two high-risk samples and 115 low-risk samples with no finite grouped HR stored by the audit implementation. Seven other cohorts have grouped HR estimates. The omission from the forest plot is therefore an unavailable estimate, not omission of a nonsignificant result.</w:t>
      </w:r>
    </w:p>
    <w:p>
      <w:pPr>
        <w:pStyle w:val="Heading1"/>
      </w:pPr>
      <w:r>
        <w:t>5 Confirmed review-process details and remaining limits</w:t>
      </w:r>
    </w:p>
    <w:p>
      <w:r>
        <w:t>M Liu led title/abstract screening, full-text screening and formula/cutoff extraction. Y Ni, X Yan and J Lei performed methodological-concern assessment; C Zhang and B Dong participated in screening, data checking and assembly. The workflow was collaborative but was not a formal dual-independent review at every stage. Source-study authors were not contacted. The audit was not registered, and no registered protocol is available. The exact interface-history screens and any platform-default limits beyond the retained query/export files were not preserved. No formal publication-bias or certainty-of-evidence assessment was performed; the reporting score and deployability stages do not replace those assessments.</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