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2 Supplementary Figures</w:t>
      </w:r>
    </w:p>
    <w:p>
      <w:pPr>
        <w:keepNext/>
      </w:pPr>
      <w:r>
        <w:t>Figure S1. Continuous-score direction and scoring status for all 57 formula-reproducible signatures across nine GEO cohorts. Panels A and B divide the 57 signatures alphabetically by audit identifier. Blue indicates HR &gt;1; red indicates HR &lt;=1. Gray indicates an unavailable estimate, gold indicates excluded source-training overlap, and purple indicates insufficient gene coverage. Asterisks denote nominal two-sided continuous-score Cox P&lt;0.05, not a test of the C-index. These are 513 signature-cohort combinations, not 513 independent cohorts. Source: the Continuous_Cox worksheet indexed in Appendix 3.</w:t>
      </w:r>
    </w:p>
    <w:p>
      <w:r>
        <w:drawing>
          <wp:inline xmlns:a="http://schemas.openxmlformats.org/drawingml/2006/main" xmlns:pic="http://schemas.openxmlformats.org/drawingml/2006/picture">
            <wp:extent cx="6219696" cy="658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-revi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696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</w:pPr>
      <w:r>
        <w:t>Figure S2. Supplementary reporting and cohort context. (a) Reporting-completeness score distributions for formula-reproducible and non-reproducible articles. (b) Numbers of externally scored samples for the 10 primary candidates; the same cohorts contribute to multiple candidates, so these counts must not be added across signatures. The leave-one-cohort-out check retained the risk direction for each candidate. (c) External sample counts grouped by the platform categories recorded in the audit. This panel summarizes scoring availability rather than platform-specific predictive accuracy. Source data and cohort annotations are in Appendix 3.</w:t>
      </w:r>
    </w:p>
    <w:p>
      <w:r>
        <w:drawing>
          <wp:inline xmlns:a="http://schemas.openxmlformats.org/drawingml/2006/main" xmlns:pic="http://schemas.openxmlformats.org/drawingml/2006/picture">
            <wp:extent cx="6400800" cy="3416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69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