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AIGC: ContentProducer: '001191110102MAD55U9H0F10002' ContentPropagator: '001191110102MAD55U9H0F10002' Label: '1' ProduceID: '83c64a4e-77ec-4461-a015-2751de9bae94' PropagateID: '83c64a4e-77ec-4461-a015-2751de9bae94' ReservedCode1: '13cca447-9fcc-49a4-b489-df1bb0b88300' ReservedCode2: '13cca447-9fcc-49a4-b489-df1bb0b88300' ---</w:t>
      </w:r>
    </w:p>
    <w:p>
      <w:pPr>
        <w:pStyle w:val="Heading1"/>
        <w:spacing w:after="240" w:before="240"/>
        <w:outlineLvl w:val="0"/>
      </w:pPr>
      <w:r>
        <w:rPr>
          <w:rFonts w:ascii="仿宋_GB2312" w:cs="仿宋_GB2312" w:eastAsia="仿宋_GB2312" w:hAnsi="仿宋_GB2312"/>
          <w:b/>
          <w:bCs/>
          <w:color w:val="1A5276"/>
          <w:sz w:val="32"/>
          <w:szCs w:val="32"/>
        </w:rPr>
        <w:t xml:space="preserve">每日金融快讯 2026-08-25</w:t>
      </w:r>
    </w:p>
    <w:p>
      <w:r>
        <w:t xml:space="preserve">&gt; 数据截至 2026年8月24日收盘 / 8月25日实时检索 &gt; 生成时间：2026-08-25 &gt; 版本：v2.0 商用标准版</w:t>
      </w:r>
    </w:p>
    <w:p>
      <w:pPr>
        <w:pStyle w:val="Heading2"/>
        <w:spacing w:after="180" w:before="180"/>
        <w:outlineLvl w:val="1"/>
      </w:pPr>
      <w:r>
        <w:rPr>
          <w:rFonts w:ascii="仿宋_GB2312" w:cs="仿宋_GB2312" w:eastAsia="仿宋_GB2312" w:hAnsi="仿宋_GB2312"/>
          <w:b/>
          <w:bCs/>
          <w:color w:val="1A5276"/>
          <w:sz w:val="28"/>
          <w:szCs w:val="28"/>
        </w:rPr>
        <w:t xml:space="preserve">一、A股市场</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指数</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收盘价</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涨跌幅</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成交额</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上证指数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3882.01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-0.59%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深证成指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13794.29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-2.13%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创业板指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3431.89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-3.21%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两市合计成交额</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2.01万亿元（放量1282亿）</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周一A股放量下跌，沪指靠红利权重撑住只跌0.59%，但创业板暴跌3.21%。2.01万亿的成交额比上周五多了1282亿，属于放量调整——放量下跌意味着有资金在加速离场。近4000只个股下跌，市场避险情绪显著升温。</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2"/>
        </w:numPr>
      </w:pPr>
      <w:r>
        <w:rPr>
          <w:b/>
          <w:bCs/>
        </w:rPr>
        <w:t xml:space="preserve">星石投资</w:t>
      </w:r>
      <w:r>
        <w:t xml:space="preserve">（方磊）：短期来看，指数下跌空间有限，当前市场处于政策预期与基本面验证的过渡期，结构性机会仍集中在低估值红利板块。</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收盘数据</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同花顺财经网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http://news.10jqka.com.cn/20260824/c679219870.shtml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2026-08-24 15:03</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A股分化行情</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国际金融报（新浪转载）</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http://finance.sina.com.cn/wm/2026-08-25/doc-inipnpyw9739741.shtml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07:12</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行情数据</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东方财富网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https://finance.eastmoney.com/a/202608243851610220.html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2026-08-24 18:17</w:t>
            </w:r>
          </w:p>
        </w:tc>
      </w:tr>
    </w:tbl>
    <w:p>
      <w:r>
        <w:t xml:space="preserve">可信度：✅ 已验证（3个独立来源一致）</w:t>
      </w:r>
    </w:p>
    <w:p>
      <w:pPr>
        <w:pStyle w:val="Heading2"/>
        <w:spacing w:after="180" w:before="180"/>
        <w:outlineLvl w:val="1"/>
      </w:pPr>
      <w:r>
        <w:rPr>
          <w:rFonts w:ascii="仿宋_GB2312" w:cs="仿宋_GB2312" w:eastAsia="仿宋_GB2312" w:hAnsi="仿宋_GB2312"/>
          <w:b/>
          <w:bCs/>
          <w:color w:val="1A5276"/>
          <w:sz w:val="28"/>
          <w:szCs w:val="28"/>
        </w:rPr>
        <w:t xml:space="preserve">二、人民币汇率</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变动</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人民币中间价</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6.7841</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下调24基点</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在岸人民币</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约6.7217</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离岸人民币</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约6.7219</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欧元兑人民币</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7.8863</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人民币中间价报6.7841，较前日微调24个基点。在岸和离岸实际交易价都在6.72附近，显著强于中间价指引。中间价与市场价的偏离，反映央行仍在释放不希望升值过快的信号，但市场买盘力量较强。</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3"/>
        </w:numPr>
      </w:pPr>
      <w:r>
        <w:rPr>
          <w:b/>
          <w:bCs/>
        </w:rPr>
        <w:t xml:space="preserve">中金公司</w:t>
      </w:r>
      <w:r>
        <w:t xml:space="preserve">（李刘雪）：人民币短期强势主要受美元走弱和贸易顺差支撑，6.72关口附近存在获利了结压力，预计短期在6.70-6.75区间双向波动。</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人民币中间价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中国外汇交易中心</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https://www.chinamoney.com.cn/</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09:15</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财经早餐（含汇率）</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腾讯网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https://new.qq.com/rain/a/20260825A028KB00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06:41</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汇率详情</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https://baijiahao.baidu.com/s?id=1874421987134094011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00:15</w:t>
            </w:r>
          </w:p>
        </w:tc>
      </w:tr>
    </w:tbl>
    <w:p>
      <w:r>
        <w:t xml:space="preserve">可信度：✅ 已验证（多源一致）</w:t>
      </w:r>
    </w:p>
    <w:p>
      <w:pPr>
        <w:pStyle w:val="Heading2"/>
        <w:spacing w:after="180" w:before="180"/>
        <w:outlineLvl w:val="1"/>
      </w:pPr>
      <w:r>
        <w:rPr>
          <w:rFonts w:ascii="仿宋_GB2312" w:cs="仿宋_GB2312" w:eastAsia="仿宋_GB2312" w:hAnsi="仿宋_GB2312"/>
          <w:b/>
          <w:bCs/>
          <w:color w:val="1A5276"/>
          <w:sz w:val="28"/>
          <w:szCs w:val="28"/>
        </w:rPr>
        <w:t xml:space="preserve">三、LPR利率</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品种</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利率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变动</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连续维持月数</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不变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15个月</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5年期LPR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不变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15个月</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下次报价日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9月20日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8月LPR连续第15个月维持不变。央行在7月CPI仅+0.5%的背景下仍选择按兵不动，原因有二：一是银行净息差压力制约降息空间，二是央行正推动贷款定价基准多元化（LPR+DR双锚模式多地落地），淡化LPR信号作用。5年期LPR不变也意味着房贷利率暂无下调。</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4"/>
        </w:numPr>
      </w:pPr>
      <w:r>
        <w:rPr>
          <w:b/>
          <w:bCs/>
        </w:rPr>
        <w:t xml:space="preserve">光大证券</w:t>
      </w:r>
      <w:r>
        <w:t xml:space="preserve">（高瑞东）：当前利率水平已处于历史低位，进一步下调的边际效果递减，机构判断三季度末前后有望出台10bp降息+0.5%降准，带动LPR下调。</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LPR公告</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全国银行间同业拆借中心</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https://www.chinamoney.com.cn/</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2026-08-20</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LPR分析</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新浪财经（流动性周报）</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http://vip.stock.finance.sina.com.cn/q/go.php/vReport_Show/kind/lastest/rptid/840744060294/index.phtml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2026-08-22</w:t>
            </w:r>
          </w:p>
        </w:tc>
      </w:tr>
    </w:tbl>
    <w:p>
      <w:r>
        <w:t xml:space="preserve">可信度：✅ 已验证（官方原始发布）</w:t>
      </w:r>
    </w:p>
    <w:p>
      <w:pPr>
        <w:pStyle w:val="Heading2"/>
        <w:spacing w:after="180" w:before="180"/>
        <w:outlineLvl w:val="1"/>
      </w:pPr>
      <w:r>
        <w:rPr>
          <w:rFonts w:ascii="仿宋_GB2312" w:cs="仿宋_GB2312" w:eastAsia="仿宋_GB2312" w:hAnsi="仿宋_GB2312"/>
          <w:b/>
          <w:bCs/>
          <w:color w:val="1A5276"/>
          <w:sz w:val="28"/>
          <w:szCs w:val="28"/>
        </w:rPr>
        <w:t xml:space="preserve">四、国债市场</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变动</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1.4190%</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-1.5BP</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Shibor 7天</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1.4320%</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+0.64BP</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Shibor 14天</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1.4300%</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+1.0BP</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国债期货</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主力合约全线收涨</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30年期涨0.24%</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8月24日债市小幅回暖，国债期货主力全线收涨。Shibor隔夜回落1.5BP至1.419%，反映央行单日净投放3400亿后短端资金面趋于宽松。银行间现券收益率多数下行0.5-1BP，市场做多情绪回升。</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5"/>
        </w:numPr>
      </w:pPr>
      <w:r>
        <w:rPr>
          <w:b/>
          <w:bCs/>
        </w:rPr>
        <w:t xml:space="preserve">新华财经</w:t>
      </w:r>
      <w:r>
        <w:t xml:space="preserve">（张煜）：短期债市仍具支撑，但利率进一步下行需要新的催化，行情或由单边下行转向低位震荡博弈。中期支撑逻辑尚未发生明显变化。</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Shibor</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上海银行间同业拆放利率</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https://www.shibor.org/</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2026-08-24 11:00</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债市日报</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新华财经（百家号转载）</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https://baijiahao.baidu.com/s?id=1874393151673945091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2026-08-24 16:26</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票据日评</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新华财经（百家号转载）</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https://baijiahao.baidu.com/s?id=1874416690264936062</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2026-08-24 22:50</w:t>
            </w:r>
          </w:p>
        </w:tc>
      </w:tr>
    </w:tbl>
    <w:p>
      <w:r>
        <w:t xml:space="preserve">可信度：✅ 已验证（双官方来源+权威媒体）</w:t>
      </w:r>
    </w:p>
    <w:p>
      <w:pPr>
        <w:pStyle w:val="Heading2"/>
        <w:spacing w:after="180" w:before="180"/>
        <w:outlineLvl w:val="1"/>
      </w:pPr>
      <w:r>
        <w:rPr>
          <w:rFonts w:ascii="仿宋_GB2312" w:cs="仿宋_GB2312" w:eastAsia="仿宋_GB2312" w:hAnsi="仿宋_GB2312"/>
          <w:b/>
          <w:bCs/>
          <w:color w:val="1A5276"/>
          <w:sz w:val="28"/>
          <w:szCs w:val="28"/>
        </w:rPr>
        <w:t xml:space="preserve">五、原油</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品种</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价格</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涨跌幅</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WTI原油</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约85.18美元/桶</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-2.10%</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布伦特原油</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约90.97美元/桶</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-1.83%</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驱动因素</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美对伊朗经济制裁扩大</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制裁领域</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航空/数字资产/黄金/航运/技术</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8月24日原油价格大幅跳水。美国公布对伊朗多项经济制裁，市场一度担心供应中断推高油价，但随后伊朗总统表态倾向于理性解决，地缘风险溢价回落，油价不升反跌。WTI跌至85美元附近，布伦特跌至91美元附近。</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6"/>
        </w:numPr>
      </w:pPr>
      <w:r>
        <w:rPr>
          <w:b/>
          <w:bCs/>
        </w:rPr>
        <w:t xml:space="preserve">山东齐盛期货</w:t>
      </w:r>
      <w:r>
        <w:t xml:space="preserve">（高健）：美对伊朗制裁范围扩大但实际执行力度待观察，油价短期在85-95美元区间震荡，地缘溢价存在但已被部分定价。</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油价走低</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http://finance.sina.com.cn/stock/zqgd/2026-08-25/doc-inipnpza5669414.shtml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07:27</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对伊朗制裁</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http://finance.sina.com.cn/roll/2026-08-25/doc-inipnpyy1703885.shtml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07:53</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WTI行情</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金投网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https://energy.cngold.org/c/2026-08-24/c10710344.html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2026-08-24 10:07</w:t>
            </w:r>
          </w:p>
        </w:tc>
      </w:tr>
    </w:tbl>
    <w:p>
      <w:r>
        <w:t xml:space="preserve">可信度：✅ 已验证（双源一致）</w:t>
      </w:r>
    </w:p>
    <w:p>
      <w:pPr>
        <w:pStyle w:val="Heading2"/>
        <w:spacing w:after="180" w:before="180"/>
        <w:outlineLvl w:val="1"/>
      </w:pPr>
      <w:r>
        <w:rPr>
          <w:rFonts w:ascii="仿宋_GB2312" w:cs="仿宋_GB2312" w:eastAsia="仿宋_GB2312" w:hAnsi="仿宋_GB2312"/>
          <w:b/>
          <w:bCs/>
          <w:color w:val="1A5276"/>
          <w:sz w:val="28"/>
          <w:szCs w:val="28"/>
        </w:rPr>
        <w:t xml:space="preserve">六、黄金</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变动</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现货黄金（伦敦金现）</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约4654.23美元/盎司</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+0.65%</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国内Au99.99</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1004.0元/克</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首破千元大关</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上海金交所最高价</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1012.6元/克</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驱动因素</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美元走弱+降息预期+地缘避险</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现货黄金站上4650美元/盎司，创近三个月新高。国内金价历史首次突破1000元/克大关。本轮上涨核心驱动：美国7月非农意外减少2.3万人推动降息预期升温、美元走弱、美债收益率回落、中东地缘风险持续。</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7"/>
        </w:numPr>
      </w:pPr>
      <w:r>
        <w:rPr>
          <w:b/>
          <w:bCs/>
        </w:rPr>
        <w:t xml:space="preserve">国研新经济研究院</w:t>
      </w:r>
      <w:r>
        <w:t xml:space="preserve">（朱明）：本轮金价上行的直接触发因素是美国7月非农数据显著弱于预期，降息预期升温。央行二季度净购金289吨（同比增6%），中期上行逻辑未变，短期有望向4700美元冲击。</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国内国际金价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https://k.sina.com.cn/article_7879776978_1d5abdad206801lgko.html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01:32</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国内金价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https://baijiahao.baidu.com/s?id=1874412526321423761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00:02</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黄金暴涨原因</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https://k.sina.com.cn/article_7880068836_1d5b04ee406801fb2c.html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02:21</w:t>
            </w:r>
          </w:p>
        </w:tc>
      </w:tr>
    </w:tbl>
    <w:p>
      <w:r>
        <w:t xml:space="preserve">可信度：✅ 已验证（双源一致）</w:t>
      </w:r>
    </w:p>
    <w:p>
      <w:pPr>
        <w:pStyle w:val="Heading2"/>
        <w:spacing w:after="180" w:before="180"/>
        <w:outlineLvl w:val="1"/>
      </w:pPr>
      <w:r>
        <w:rPr>
          <w:rFonts w:ascii="仿宋_GB2312" w:cs="仿宋_GB2312" w:eastAsia="仿宋_GB2312" w:hAnsi="仿宋_GB2312"/>
          <w:b/>
          <w:bCs/>
          <w:color w:val="1A5276"/>
          <w:sz w:val="28"/>
          <w:szCs w:val="28"/>
        </w:rPr>
        <w:t xml:space="preserve">七、铜价</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变动</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LME期铜</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14273美元/吨</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+58美元</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LME期铝</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3228美元/吨</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-9美元</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LME期锌</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3835美元/吨</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+12美元</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年内涨幅</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近14%</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LME期铜收涨58美元至14273美元/吨。本轮铜价上涨核心驱动在供给端——矿端趋紧、低库存、资金做多共振。AI算力需求也对铜价形成支撑。年内涨幅近14%，逼近1月创下的14527美元历史峰值。</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8"/>
        </w:numPr>
      </w:pPr>
      <w:r>
        <w:rPr>
          <w:b/>
          <w:bCs/>
        </w:rPr>
        <w:t xml:space="preserve">五矿有色金属研究</w:t>
      </w:r>
      <w:r>
        <w:t xml:space="preserve">：本轮伦铜大涨是供给端扰动、低库存、资金做多等因素共振的结果，核心驱动在供给。AI需求对铜的消费拉动值得持续关注。</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LME铜收盘</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财联社（百家号转载）</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https://baijiahao.baidu.com/s?id=1874424355845747775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00:52</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LME铜行情</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金投网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https://www.cngold.org/qihuo/lmetong.html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2026-08-24 12:43</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五矿有色月报</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网易</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https://www.163.com/dy/article/L4S1FDVL05568W0A.html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2026-08-21 13:35</w:t>
            </w:r>
          </w:p>
        </w:tc>
      </w:tr>
    </w:tbl>
    <w:p>
      <w:r>
        <w:t xml:space="preserve">可信度：✅ 已验证（双源一致）</w:t>
      </w:r>
    </w:p>
    <w:p>
      <w:pPr>
        <w:pStyle w:val="Heading2"/>
        <w:spacing w:after="180" w:before="180"/>
        <w:outlineLvl w:val="1"/>
      </w:pPr>
      <w:r>
        <w:rPr>
          <w:rFonts w:ascii="仿宋_GB2312" w:cs="仿宋_GB2312" w:eastAsia="仿宋_GB2312" w:hAnsi="仿宋_GB2312"/>
          <w:b/>
          <w:bCs/>
          <w:color w:val="1A5276"/>
          <w:sz w:val="28"/>
          <w:szCs w:val="28"/>
        </w:rPr>
        <w:t xml:space="preserve">八、美联储</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数值（预测值）</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CME FedWatch 9月维持不变（预测值）</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45%（降息预期升温）</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7月非农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-2.3万人（今年以来最差）</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5月+6月非农下修</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合计-10.3万人</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市场预期变化</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从加息两次→仅12月加息一次</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市场对美联储的加息预期明显收敛。据华创证券引用CME FedWatch数据，市场从7月底预计年内加息两次，快速调整至仅预计12月加息一次。7月非农意外减少2.3万人为今年最差，推动降息预期升温。美元与美债收益率回落，持有无息黄金的机会成本降低。</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9"/>
        </w:numPr>
      </w:pPr>
      <w:r>
        <w:rPr>
          <w:b/>
          <w:bCs/>
        </w:rPr>
        <w:t xml:space="preserve">华创证券</w:t>
      </w:r>
      <w:r>
        <w:t xml:space="preserve">（姚佩）：相较于通胀压力，美国财政信用危机更为迫在眉睫，未来为控制美债收益率上行压力，美联储独立性或进一步让渡于财政目标，从而强化降息预期。</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FedWatch数据</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网易（引用华创证券）</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https://www.163.com/dy/article/L54BH9PT05198NMR.html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2026-08-24 19:05</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9月维持不变概率</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https://k.sina.com.cn/article_7879849019_1d5acf43b06801dyx6.html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2026-08-22 12:38</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加息概率分析</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https://baijiahao.baidu.com/s?id=1873936044360781974</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2026-08-19 15:30</w:t>
            </w:r>
          </w:p>
        </w:tc>
      </w:tr>
    </w:tbl>
    <w:p>
      <w:r>
        <w:t xml:space="preserve">可信度：✅ 已验证（CME官方数据+权威机构引用）</w:t>
      </w:r>
    </w:p>
    <w:p>
      <w:pPr>
        <w:pStyle w:val="Heading2"/>
        <w:spacing w:after="180" w:before="180"/>
        <w:outlineLvl w:val="1"/>
      </w:pPr>
      <w:r>
        <w:rPr>
          <w:rFonts w:ascii="仿宋_GB2312" w:cs="仿宋_GB2312" w:eastAsia="仿宋_GB2312" w:hAnsi="仿宋_GB2312"/>
          <w:b/>
          <w:bCs/>
          <w:color w:val="1A5276"/>
          <w:sz w:val="28"/>
          <w:szCs w:val="28"/>
        </w:rPr>
        <w:t xml:space="preserve">九、宏观经济</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同比/环比</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7月CPI</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全国/当月</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7月PPI</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同比（环比-0.7%）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全国/当月</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7月M2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+7.7%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全国/当月</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7月制造业PMI</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49.2%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全国/当月</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7月经济数据呈现三重隐忧：CPI仅+0.5%说明终端消费需求偏弱；PPI+3.5%但环比下降0.7%，上下游价格剪刀差扩大；制造业PMI降至49.2%，低于荣枯线。M2增速+7.7%尚可但M1-M2剪刀差走扩，企业资金活化程度有待提升。</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10"/>
        </w:numPr>
      </w:pPr>
      <w:r>
        <w:rPr>
          <w:b/>
          <w:bCs/>
        </w:rPr>
        <w:t xml:space="preserve">广发证券</w:t>
      </w:r>
      <w:r>
        <w:t xml:space="preserve">（郭磊）：CPI低位运行为货币政策宽松提供了空间，但央行似乎更倾向于用结构性工具精准滴灌。工业企业利润同比转负或可作为观察央行降息窗口能否开启的重要指标。</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CPI/PPI</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国家统计局</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https://www.stats.gov.cn/</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2026-08-09</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宏观数据分析</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新浪财经（中信保诚基金）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http://finance.sina.com.cn/money/fund/jjh/2026-08-17/doc-ininrkkr7756076.shtml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2026-08-17 16:23</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PMI数据</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知乎（上海棉联月报引用）</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https://zhuanlan.zhihu.com/p/2072414811015602504</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2026-08-16 20:12</w:t>
            </w:r>
          </w:p>
        </w:tc>
      </w:tr>
    </w:tbl>
    <w:p>
      <w:r>
        <w:t xml:space="preserve">可信度：✅ 已验证（官方原始发布）</w:t>
      </w:r>
    </w:p>
    <w:p>
      <w:pPr>
        <w:pStyle w:val="Heading2"/>
        <w:spacing w:after="180" w:before="180"/>
        <w:outlineLvl w:val="1"/>
      </w:pPr>
      <w:r>
        <w:rPr>
          <w:rFonts w:ascii="仿宋_GB2312" w:cs="仿宋_GB2312" w:eastAsia="仿宋_GB2312" w:hAnsi="仿宋_GB2312"/>
          <w:b/>
          <w:bCs/>
          <w:color w:val="1A5276"/>
          <w:sz w:val="28"/>
          <w:szCs w:val="28"/>
        </w:rPr>
        <w:t xml:space="preserve">十、资金面</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变动</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两市成交额</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2.01万亿元</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放量1282亿</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8月以来两融余额回升</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超700亿元</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连续8日</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北向资金（Q2）</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净流入约2193亿元</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创纪录</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8/14两融余额</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微降18.59亿元</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连增暂断</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8月以来两融余额一度连续8日回升超700亿，杠杆资金持续入场。但8/24放量下跌至2.01万亿，说明有资金在加速离场。8/14两融余额微降18.59亿，连增态势暂告段落。Q2北向资金净流入2193亿创纪录，但8月增量资金入场速度放缓。</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11"/>
        </w:numPr>
      </w:pPr>
      <w:r>
        <w:rPr>
          <w:b/>
          <w:bCs/>
        </w:rPr>
        <w:t xml:space="preserve">华泰证券</w:t>
      </w:r>
      <w:r>
        <w:t xml:space="preserve">（张馨元）：两融持续回升反映场内资金风险偏好修复，但成交放量伴随指数下跌说明观望情绪浓厚，需关注下周量能恢复情况。交易型资金回补或进入中期阶段。</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两融数据</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东方财富网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https://finance.eastmoney.com/a/202608183843873595.html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2026-08-18 08:03</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成交额</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https://baijiahao.baidu.com/s?id=1874125103185672382</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2026-08-21 17:36</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北向资金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网易</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https://www.163.com/dy/article/L4S3IT7J0534A4SC.html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2026-08-21 14:12</w:t>
            </w:r>
          </w:p>
        </w:tc>
      </w:tr>
    </w:tbl>
    <w:p>
      <w:r>
        <w:t xml:space="preserve">可信度：✅ 已验证（多源一致）</w:t>
      </w:r>
    </w:p>
    <w:p>
      <w:pPr>
        <w:pStyle w:val="Heading2"/>
        <w:spacing w:after="180" w:before="180"/>
        <w:outlineLvl w:val="1"/>
      </w:pPr>
      <w:r>
        <w:rPr>
          <w:rFonts w:ascii="仿宋_GB2312" w:cs="仿宋_GB2312" w:eastAsia="仿宋_GB2312" w:hAnsi="仿宋_GB2312"/>
          <w:b/>
          <w:bCs/>
          <w:color w:val="1A5276"/>
          <w:sz w:val="28"/>
          <w:szCs w:val="28"/>
        </w:rPr>
        <w:t xml:space="preserve">十一、央行操作</w:t>
      </w:r>
    </w:p>
    <w:p>
      <w:pPr>
        <w:pStyle w:val="Heading3"/>
        <w:spacing w:after="120" w:before="120"/>
        <w:outlineLvl w:val="2"/>
      </w:pPr>
      <w:r>
        <w:rPr>
          <w:rFonts w:ascii="仿宋_GB2312" w:cs="仿宋_GB2312" w:eastAsia="仿宋_GB2312" w:hAnsi="仿宋_GB2312"/>
          <w:b/>
          <w:bCs/>
          <w:color w:val="1A5276"/>
          <w:sz w:val="26"/>
          <w:szCs w:val="26"/>
        </w:rPr>
        <w:t xml:space="preserve">硬数据</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时间口径</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MLF操作</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5000亿元（1年期，多重价位中标）</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8/25</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MLF到期</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6000亿元（缩量续作1000亿）</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8月</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隔夜逆回购</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8/27-9/1每日不超过6000亿元</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8/27-9/1</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8/24逆回购</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3400亿元7天期（净投放3400亿）</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8/24</w:t>
            </w:r>
          </w:p>
        </w:tc>
      </w:tr>
    </w:tbl>
    <w:p>
      <w:pPr>
        <w:pStyle w:val="Heading3"/>
        <w:spacing w:after="120" w:before="120"/>
        <w:outlineLvl w:val="2"/>
      </w:pPr>
      <w:r>
        <w:rPr>
          <w:rFonts w:ascii="仿宋_GB2312" w:cs="仿宋_GB2312" w:eastAsia="仿宋_GB2312" w:hAnsi="仿宋_GB2312"/>
          <w:b/>
          <w:bCs/>
          <w:color w:val="1A5276"/>
          <w:sz w:val="26"/>
          <w:szCs w:val="26"/>
        </w:rPr>
        <w:t xml:space="preserve">大白话解读</w:t>
      </w:r>
    </w:p>
    <w:p>
      <w:r>
        <w:t xml:space="preserve">央行打出组合拳呵护月末流动性：8/25开展5000亿MLF操作（8月到期6000亿，缩量续作1000亿，但加上买断式逆回购加量2000亿，中期流动性合计仍净投放）；8/24已开展3400亿7天逆回购净投放；8/27-9/1将启动隔夜逆回购每日不超过6000亿。整体体现精准灵活调控。</w:t>
      </w:r>
    </w:p>
    <w:p>
      <w:pPr>
        <w:pStyle w:val="Heading3"/>
        <w:spacing w:after="120" w:before="120"/>
        <w:outlineLvl w:val="2"/>
      </w:pPr>
      <w:r>
        <w:rPr>
          <w:rFonts w:ascii="仿宋_GB2312" w:cs="仿宋_GB2312" w:eastAsia="仿宋_GB2312" w:hAnsi="仿宋_GB2312"/>
          <w:b/>
          <w:bCs/>
          <w:color w:val="1A5276"/>
          <w:sz w:val="26"/>
          <w:szCs w:val="26"/>
        </w:rPr>
        <w:t xml:space="preserve">机构观点</w:t>
      </w:r>
    </w:p>
    <w:p>
      <w:pPr>
        <w:pStyle w:val="ListParagraph"/>
        <w:numPr>
          <w:ilvl w:val="0"/>
          <w:numId w:val="12"/>
        </w:numPr>
      </w:pPr>
      <w:r>
        <w:rPr>
          <w:b/>
          <w:bCs/>
        </w:rPr>
        <w:t xml:space="preserve">东方金诚</w:t>
      </w:r>
      <w:r>
        <w:t xml:space="preserve">（王青）：8月MLF缩量1000亿但中期流动性操作合计加量1000亿，连续第二个月净投放。MLF缩量可能与金融机构资金需求的期限结构有关，不代表流动性收紧。</w:t>
      </w:r>
    </w:p>
    <w:p>
      <w:pPr>
        <w:pStyle w:val="Heading3"/>
        <w:spacing w:after="120" w:before="120"/>
        <w:outlineLvl w:val="2"/>
      </w:pPr>
      <w:r>
        <w:rPr>
          <w:rFonts w:ascii="仿宋_GB2312" w:cs="仿宋_GB2312" w:eastAsia="仿宋_GB2312" w:hAnsi="仿宋_GB2312"/>
          <w:b/>
          <w:bCs/>
          <w:color w:val="1A5276"/>
          <w:sz w:val="26"/>
          <w:szCs w:val="26"/>
        </w:rPr>
        <w:t xml:space="preserve">信源引用</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时间戳</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MLF公告</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央行官网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http://www.pbc.gov.cn/zhengcehuobisi/125207/</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2026-08-24</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MLF操作详情</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同花顺财经网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http://news.10jqka.com.cn/20260825/c679238794.shtml</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00:31</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央行调控分析</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百家号（引用证券日报）</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https://baijiahao.baidu.com/s?id=1874425958796113281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2026-08-25 01:18</w:t>
            </w:r>
          </w:p>
        </w:tc>
      </w:tr>
    </w:tbl>
    <w:p>
      <w:r>
        <w:t xml:space="preserve">可信度：✅ 已验证（官方+权威媒体双源）</w:t>
      </w:r>
    </w:p>
    <w:p>
      <w:pPr>
        <w:pStyle w:val="Heading2"/>
        <w:spacing w:after="180" w:before="180"/>
        <w:outlineLvl w:val="1"/>
      </w:pPr>
      <w:r>
        <w:rPr>
          <w:rFonts w:ascii="仿宋_GB2312" w:cs="仿宋_GB2312" w:eastAsia="仿宋_GB2312" w:hAnsi="仿宋_GB2312"/>
          <w:b/>
          <w:bCs/>
          <w:color w:val="1A5276"/>
          <w:sz w:val="28"/>
          <w:szCs w:val="28"/>
        </w:rPr>
        <w:t xml:space="preserve">预测台账回测</w:t>
      </w:r>
    </w:p>
    <w:p>
      <w:pPr>
        <w:pStyle w:val="Heading3"/>
        <w:spacing w:after="120" w:before="120"/>
        <w:outlineLvl w:val="2"/>
      </w:pPr>
      <w:r>
        <w:rPr>
          <w:rFonts w:ascii="仿宋_GB2312" w:cs="仿宋_GB2312" w:eastAsia="仿宋_GB2312" w:hAnsi="仿宋_GB2312"/>
          <w:b/>
          <w:bCs/>
          <w:color w:val="1A5276"/>
          <w:sz w:val="26"/>
          <w:szCs w:val="26"/>
        </w:rPr>
        <w:t xml:space="preserve">8/21-8/23预测回测</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原预测</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验证结果</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判断</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A股8/21受美股拖累大概率低开，守住3900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8/21上证3905.20守住3900，创业板+1.43%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命中</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人民币破6.72关口可能性较大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在岸6.7205突破6.72，强于预期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命中</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油价维持85-95美元区间</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WTI 85.18/布伦特90.97在区间内</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命中</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黄金4450-4600区间震荡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黄金突破4654远超上沿，方向对但点位偏保守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部分命中</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央行8月下旬可能降准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未降准，但用MLF缩量续作+隔夜逆回购替代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部分命中</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8/28沃什讲话偏鹰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尚未发生，降息预期升温使鹰派预期弱化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待验证</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科技修复主线不变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8/24创业板暴跌3.21%，科技股领跌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 未命中</w:t>
            </w:r>
          </w:p>
        </w:tc>
      </w:tr>
    </w:tbl>
    <w:p>
      <w:pPr>
        <w:pStyle w:val="Heading3"/>
        <w:spacing w:after="120" w:before="120"/>
        <w:outlineLvl w:val="2"/>
      </w:pPr>
      <w:r>
        <w:rPr>
          <w:rFonts w:ascii="仿宋_GB2312" w:cs="仿宋_GB2312" w:eastAsia="仿宋_GB2312" w:hAnsi="仿宋_GB2312"/>
          <w:b/>
          <w:bCs/>
          <w:color w:val="1A5276"/>
          <w:sz w:val="26"/>
          <w:szCs w:val="26"/>
        </w:rPr>
        <w:t xml:space="preserve">回测统计</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批次</w:t>
            </w:r>
          </w:p>
        </w:tc>
        <w:tc>
          <w:tcPr>
            <w:tcW w:type="dxa" w:w="1504"/>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预测数</w:t>
            </w:r>
          </w:p>
        </w:tc>
        <w:tc>
          <w:tcPr>
            <w:tcW w:type="dxa" w:w="1504"/>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命中</w:t>
            </w:r>
          </w:p>
        </w:tc>
        <w:tc>
          <w:tcPr>
            <w:tcW w:type="dxa" w:w="1504"/>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部分命中</w:t>
            </w:r>
          </w:p>
        </w:tc>
        <w:tc>
          <w:tcPr>
            <w:tcW w:type="dxa" w:w="1504"/>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未命中</w:t>
            </w:r>
          </w:p>
        </w:tc>
        <w:tc>
          <w:tcPr>
            <w:tcW w:type="dxa" w:w="1504"/>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命中率</w:t>
            </w:r>
          </w:p>
        </w:tc>
      </w:tr>
      <w:tr>
        <w:tc>
          <w:tcPr>
            <w:tcW w:type="dxa" w:w="1504"/>
            <w:tcBorders>
              <w:top w:val="single" w:color="CCCCCC" w:sz="1"/>
              <w:left w:val="single" w:color="CCCCCC" w:sz="1"/>
              <w:bottom w:val="single" w:color="CCCCCC" w:sz="1"/>
              <w:right w:val="single" w:color="CCCCCC" w:sz="1"/>
            </w:tcBorders>
            <w:vAlign w:val="center"/>
          </w:tcPr>
          <w:p>
            <w:pPr>
              <w:jc w:val="center"/>
            </w:pPr>
            <w:r>
              <w:t xml:space="preserve">8/13-8/16综合回测</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11</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8</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4</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~73%</w:t>
            </w:r>
          </w:p>
        </w:tc>
      </w:tr>
      <w:tr>
        <w:tc>
          <w:tcPr>
            <w:tcW w:type="dxa" w:w="1504"/>
            <w:tcBorders>
              <w:top w:val="single" w:color="CCCCCC" w:sz="1"/>
              <w:left w:val="single" w:color="CCCCCC" w:sz="1"/>
              <w:bottom w:val="single" w:color="CCCCCC" w:sz="1"/>
              <w:right w:val="single" w:color="CCCCCC" w:sz="1"/>
            </w:tcBorders>
            <w:vAlign w:val="center"/>
          </w:tcPr>
          <w:p>
            <w:pPr>
              <w:jc w:val="center"/>
            </w:pPr>
            <w:r>
              <w:t xml:space="preserve">8/17预测回测</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7</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4</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~57%</w:t>
            </w:r>
          </w:p>
        </w:tc>
      </w:tr>
      <w:tr>
        <w:tc>
          <w:tcPr>
            <w:tcW w:type="dxa" w:w="1504"/>
            <w:tcBorders>
              <w:top w:val="single" w:color="CCCCCC" w:sz="1"/>
              <w:left w:val="single" w:color="CCCCCC" w:sz="1"/>
              <w:bottom w:val="single" w:color="CCCCCC" w:sz="1"/>
              <w:right w:val="single" w:color="CCCCCC" w:sz="1"/>
            </w:tcBorders>
            <w:vAlign w:val="center"/>
          </w:tcPr>
          <w:p>
            <w:pPr>
              <w:jc w:val="center"/>
            </w:pPr>
            <w:r>
              <w:t xml:space="preserve">8/20预测回测</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6</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~67%</w:t>
            </w:r>
          </w:p>
        </w:tc>
      </w:tr>
      <w:tr>
        <w:tc>
          <w:tcPr>
            <w:tcW w:type="dxa" w:w="1504"/>
            <w:tcBorders>
              <w:top w:val="single" w:color="CCCCCC" w:sz="1"/>
              <w:left w:val="single" w:color="CCCCCC" w:sz="1"/>
              <w:bottom w:val="single" w:color="CCCCCC" w:sz="1"/>
              <w:right w:val="single" w:color="CCCCCC" w:sz="1"/>
            </w:tcBorders>
            <w:vAlign w:val="center"/>
          </w:tcPr>
          <w:p>
            <w:pPr>
              <w:jc w:val="center"/>
            </w:pPr>
            <w:r>
              <w:t xml:space="preserve">8/21预测回测</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7</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3</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~57%</w:t>
            </w:r>
          </w:p>
        </w:tc>
      </w:tr>
      <w:tr>
        <w:tc>
          <w:tcPr>
            <w:tcW w:type="dxa" w:w="1504"/>
            <w:tcBorders>
              <w:top w:val="single" w:color="CCCCCC" w:sz="1"/>
              <w:left w:val="single" w:color="CCCCCC" w:sz="1"/>
              <w:bottom w:val="single" w:color="CCCCCC" w:sz="1"/>
              <w:right w:val="single" w:color="CCCCCC" w:sz="1"/>
            </w:tcBorders>
            <w:vAlign w:val="center"/>
          </w:tcPr>
          <w:p>
            <w:pPr>
              <w:jc w:val="center"/>
            </w:pPr>
            <w:r>
              <w:t xml:space="preserve">累计统计</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31</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17</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9</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4</w:t>
            </w:r>
          </w:p>
        </w:tc>
        <w:tc>
          <w:tcPr>
            <w:tcW w:type="dxa" w:w="1504"/>
            <w:tcBorders>
              <w:top w:val="single" w:color="CCCCCC" w:sz="1"/>
              <w:left w:val="single" w:color="CCCCCC" w:sz="1"/>
              <w:bottom w:val="single" w:color="CCCCCC" w:sz="1"/>
              <w:right w:val="single" w:color="CCCCCC" w:sz="1"/>
            </w:tcBorders>
            <w:vAlign w:val="center"/>
          </w:tcPr>
          <w:p>
            <w:pPr>
              <w:jc w:val="center"/>
            </w:pPr>
            <w:r>
              <w:t xml:space="preserve">~61%</w:t>
            </w:r>
          </w:p>
        </w:tc>
      </w:tr>
    </w:tbl>
    <w:p>
      <w:pPr>
        <w:pStyle w:val="Heading2"/>
        <w:spacing w:after="180" w:before="180"/>
        <w:outlineLvl w:val="1"/>
      </w:pPr>
      <w:r>
        <w:rPr>
          <w:rFonts w:ascii="仿宋_GB2312" w:cs="仿宋_GB2312" w:eastAsia="仿宋_GB2312" w:hAnsi="仿宋_GB2312"/>
          <w:b/>
          <w:bCs/>
          <w:color w:val="1A5276"/>
          <w:sz w:val="28"/>
          <w:szCs w:val="28"/>
        </w:rPr>
        <w:t xml:space="preserve">术语卡片</w:t>
      </w:r>
    </w:p>
    <w:p>
      <w:pPr>
        <w:pStyle w:val="Heading3"/>
        <w:spacing w:after="120" w:before="120"/>
        <w:outlineLvl w:val="2"/>
      </w:pPr>
      <w:r>
        <w:rPr>
          <w:rFonts w:ascii="仿宋_GB2312" w:cs="仿宋_GB2312" w:eastAsia="仿宋_GB2312" w:hAnsi="仿宋_GB2312"/>
          <w:b/>
          <w:bCs/>
          <w:color w:val="1A5276"/>
          <w:sz w:val="26"/>
          <w:szCs w:val="26"/>
        </w:rPr>
        <w:t xml:space="preserve">社融（社会融资规模）</w:t>
      </w:r>
    </w:p>
    <w:p>
      <w:r>
        <w:t xml:space="preserve">实体经济从整个金融系统拿到多少钱：银行贷款+发债+股市融资等。社融增加=企业有钱搞生产=经济有希望。7月社融数据整体平稳但信贷偏弱，反映实体融资需求不足。</w:t>
      </w:r>
    </w:p>
    <w:p>
      <w:r>
        <w:t xml:space="preserve">&gt; 实用场景：每月关注社融数据，判断企业融资环境是否改善。</w:t>
      </w:r>
    </w:p>
    <w:p>
      <w:pPr>
        <w:pStyle w:val="Heading3"/>
        <w:spacing w:after="120" w:before="120"/>
        <w:outlineLvl w:val="2"/>
      </w:pPr>
      <w:r>
        <w:rPr>
          <w:rFonts w:ascii="仿宋_GB2312" w:cs="仿宋_GB2312" w:eastAsia="仿宋_GB2312" w:hAnsi="仿宋_GB2312"/>
          <w:b/>
          <w:bCs/>
          <w:color w:val="1A5276"/>
          <w:sz w:val="26"/>
          <w:szCs w:val="26"/>
        </w:rPr>
        <w:t xml:space="preserve">买断式逆回购</w:t>
      </w:r>
    </w:p>
    <w:p>
      <w:r>
        <w:t xml:space="preserve">央行买银行债券并约定未来卖回，期限3-6个月，比普通逆回购（7天/14天）更长。8月央行买断式逆回购加量2000亿，是中期流动性投放的新工具。</w:t>
      </w:r>
    </w:p>
    <w:p>
      <w:r>
        <w:t xml:space="preserve">&gt; 实用场景：关注央行买断式逆回购操作量，判断中期流动性投放方向。</w:t>
      </w:r>
    </w:p>
    <w:p>
      <w:pPr>
        <w:pStyle w:val="Heading2"/>
        <w:spacing w:after="180" w:before="180"/>
        <w:outlineLvl w:val="1"/>
      </w:pPr>
      <w:r>
        <w:rPr>
          <w:rFonts w:ascii="仿宋_GB2312" w:cs="仿宋_GB2312" w:eastAsia="仿宋_GB2312" w:hAnsi="仿宋_GB2312"/>
          <w:b/>
          <w:bCs/>
          <w:color w:val="1A5276"/>
          <w:sz w:val="28"/>
          <w:szCs w:val="28"/>
        </w:rPr>
        <w:t xml:space="preserve">事件日历</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日期</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事件</w:t>
            </w:r>
          </w:p>
        </w:tc>
        <w:tc>
          <w:tcPr>
            <w:tcW w:type="dxa" w:w="3008"/>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重要程度</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8/28</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美联储杰克逊霍尔全球央行年会发言</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8/31</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中国8月官方PMI</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9/1</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中国8月财新PMI</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9/5</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美国8月非农就业数据</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9/17-18</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美联储FOMC议息会议</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r>
        <w:tc>
          <w:tcPr>
            <w:tcW w:type="dxa" w:w="3008"/>
            <w:tcBorders>
              <w:top w:val="single" w:color="CCCCCC" w:sz="1"/>
              <w:left w:val="single" w:color="CCCCCC" w:sz="1"/>
              <w:bottom w:val="single" w:color="CCCCCC" w:sz="1"/>
              <w:right w:val="single" w:color="CCCCCC" w:sz="1"/>
            </w:tcBorders>
            <w:vAlign w:val="center"/>
          </w:tcPr>
          <w:p>
            <w:pPr>
              <w:jc w:val="center"/>
            </w:pPr>
            <w:r>
              <w:t xml:space="preserve">9/20</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中国9月LPR报价</w:t>
            </w:r>
          </w:p>
        </w:tc>
        <w:tc>
          <w:tcPr>
            <w:tcW w:type="dxa" w:w="3008"/>
            <w:tcBorders>
              <w:top w:val="single" w:color="CCCCCC" w:sz="1"/>
              <w:left w:val="single" w:color="CCCCCC" w:sz="1"/>
              <w:bottom w:val="single" w:color="CCCCCC" w:sz="1"/>
              <w:right w:val="single" w:color="CCCCCC" w:sz="1"/>
            </w:tcBorders>
            <w:vAlign w:val="center"/>
          </w:tcPr>
          <w:p>
            <w:pPr>
              <w:jc w:val="center"/>
            </w:pPr>
            <w:r>
              <w:t xml:space="preserve">⭐⭐⭐</w:t>
            </w:r>
          </w:p>
        </w:tc>
      </w:tr>
    </w:tbl>
    <w:p>
      <w:pPr>
        <w:pStyle w:val="Heading2"/>
        <w:spacing w:after="180" w:before="180"/>
        <w:outlineLvl w:val="1"/>
      </w:pPr>
      <w:r>
        <w:rPr>
          <w:rFonts w:ascii="仿宋_GB2312" w:cs="仿宋_GB2312" w:eastAsia="仿宋_GB2312" w:hAnsi="仿宋_GB2312"/>
          <w:b/>
          <w:bCs/>
          <w:color w:val="1A5276"/>
          <w:sz w:val="28"/>
          <w:szCs w:val="28"/>
        </w:rPr>
        <w:t xml:space="preserve">政策速递</w:t>
      </w:r>
    </w:p>
    <w:p>
      <w:pPr>
        <w:pStyle w:val="ListParagraph"/>
        <w:numPr>
          <w:ilvl w:val="0"/>
          <w:numId w:val="13"/>
        </w:numPr>
      </w:pPr>
      <w:r>
        <w:rPr>
          <w:b/>
          <w:bCs/>
        </w:rPr>
        <w:t xml:space="preserve">央行5000亿MLF+隔夜逆回购组合拳</w:t>
      </w:r>
      <w:r>
        <w:t xml:space="preserve">：8/25开展5000亿MLF（缩量续作1000亿），8/27-9/1隔夜逆回购每日不超6000亿，呵护月末流动性。（来源：央行，S级）</w:t>
      </w:r>
    </w:p>
    <w:p>
      <w:pPr>
        <w:pStyle w:val="ListParagraph"/>
        <w:numPr>
          <w:ilvl w:val="0"/>
          <w:numId w:val="14"/>
        </w:numPr>
      </w:pPr>
      <w:r>
        <w:rPr>
          <w:b/>
          <w:bCs/>
        </w:rPr>
        <w:t xml:space="preserve">六大行落实财政金融协同促内需</w:t>
      </w:r>
      <w:r>
        <w:t xml:space="preserve">：工农中建交邮储六大行根据三部委通知陆续发布最新政策，加大信贷投放力度。（来源：财政部/央行/金融监管总局，S级）</w:t>
      </w:r>
    </w:p>
    <w:p>
      <w:pPr>
        <w:pStyle w:val="ListParagraph"/>
        <w:numPr>
          <w:ilvl w:val="0"/>
          <w:numId w:val="15"/>
        </w:numPr>
      </w:pPr>
      <w:r>
        <w:rPr>
          <w:b/>
          <w:bCs/>
        </w:rPr>
        <w:t xml:space="preserve">财政部下半年增量政策</w:t>
      </w:r>
      <w:r>
        <w:t xml:space="preserve">：财政部副部长廖岷表示下半年将及时谋划出台务实管用的增量政策，今年财政支出预算首次超过30万亿元。（来源：财政部，S级）</w:t>
      </w:r>
    </w:p>
    <w:p>
      <w:pPr>
        <w:pStyle w:val="ListParagraph"/>
        <w:numPr>
          <w:ilvl w:val="0"/>
          <w:numId w:val="16"/>
        </w:numPr>
      </w:pPr>
      <w:r>
        <w:rPr>
          <w:b/>
          <w:bCs/>
        </w:rPr>
        <w:t xml:space="preserve">降准先于降息预期升温</w:t>
      </w:r>
      <w:r>
        <w:t xml:space="preserve">：7月政治局会议定调下半年适度宽松货币政策，机构判断三季度末有望10bp降息+0.5%降准。（来源：券商研报，A级）</w:t>
      </w:r>
    </w:p>
    <w:p>
      <w:pPr>
        <w:pStyle w:val="Heading2"/>
        <w:spacing w:after="180" w:before="180"/>
        <w:outlineLvl w:val="1"/>
      </w:pPr>
      <w:r>
        <w:rPr>
          <w:rFonts w:ascii="仿宋_GB2312" w:cs="仿宋_GB2312" w:eastAsia="仿宋_GB2312" w:hAnsi="仿宋_GB2312"/>
          <w:b/>
          <w:bCs/>
          <w:color w:val="1A5276"/>
          <w:sz w:val="28"/>
          <w:szCs w:val="28"/>
        </w:rPr>
        <w:t xml:space="preserve">来源汇总表</w:t>
      </w:r>
    </w:p>
    <w:p>
      <w:pPr>
        <w:pStyle w:val="Heading3"/>
        <w:spacing w:after="120" w:before="120"/>
        <w:outlineLvl w:val="2"/>
      </w:pPr>
      <w:r>
        <w:rPr>
          <w:rFonts w:ascii="仿宋_GB2312" w:cs="仿宋_GB2312" w:eastAsia="仿宋_GB2312" w:hAnsi="仿宋_GB2312"/>
          <w:b/>
          <w:bCs/>
          <w:color w:val="1A5276"/>
          <w:sz w:val="26"/>
          <w:szCs w:val="26"/>
        </w:rPr>
        <w:t xml:space="preserve">S级来源（官方原始发布）</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引用次数</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央行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http://www.pbc.gov.cn/zhengcehuobisi/125207/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上海银行间同业拆放利率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https://www.shibor.org/</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全国银行间同业拆借中心/外汇交易中心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https://www.chinamoney.com.cn/</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国家统计局</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https://www.stats.gov.cn/</w:t>
            </w:r>
          </w:p>
        </w:tc>
      </w:tr>
    </w:tbl>
    <w:p>
      <w:pPr>
        <w:pStyle w:val="Heading3"/>
        <w:spacing w:after="120" w:before="120"/>
        <w:outlineLvl w:val="2"/>
      </w:pPr>
      <w:r>
        <w:rPr>
          <w:rFonts w:ascii="仿宋_GB2312" w:cs="仿宋_GB2312" w:eastAsia="仿宋_GB2312" w:hAnsi="仿宋_GB2312"/>
          <w:b/>
          <w:bCs/>
          <w:color w:val="1A5276"/>
          <w:sz w:val="26"/>
          <w:szCs w:val="26"/>
        </w:rPr>
        <w:t xml:space="preserve">A级来源（权威财经媒体/机构）</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引用次数</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同花顺财经网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http://news.10jqka.com.cn/</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http://finance.sina.com.cn/</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财联社</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https://baijiahao.baidu.com/s?id=1874424355845747775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东方财富网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https://finance.eastmoney.com/</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华创证券（网易转载）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https://www.163.com/dy/article/L54BH9PT05198NMR.html</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新华财经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https://baijiahao.baidu.com/</w:t>
            </w:r>
          </w:p>
        </w:tc>
      </w:tr>
    </w:tbl>
    <w:p>
      <w:pPr>
        <w:pStyle w:val="Heading3"/>
        <w:spacing w:after="120" w:before="120"/>
        <w:outlineLvl w:val="2"/>
      </w:pPr>
      <w:r>
        <w:rPr>
          <w:rFonts w:ascii="仿宋_GB2312" w:cs="仿宋_GB2312" w:eastAsia="仿宋_GB2312" w:hAnsi="仿宋_GB2312"/>
          <w:b/>
          <w:bCs/>
          <w:color w:val="1A5276"/>
          <w:sz w:val="26"/>
          <w:szCs w:val="26"/>
        </w:rPr>
        <w:t xml:space="preserve">B级来源（主流财经平台）</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引用次数</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金投网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https://energy.cngold.org/</w:t>
            </w:r>
          </w:p>
        </w:tc>
      </w:tr>
    </w:tbl>
    <w:p>
      <w:pPr>
        <w:pStyle w:val="Heading3"/>
        <w:spacing w:after="120" w:before="120"/>
        <w:outlineLvl w:val="2"/>
      </w:pPr>
      <w:r>
        <w:rPr>
          <w:rFonts w:ascii="仿宋_GB2312" w:cs="仿宋_GB2312" w:eastAsia="仿宋_GB2312" w:hAnsi="仿宋_GB2312"/>
          <w:b/>
          <w:bCs/>
          <w:color w:val="1A5276"/>
          <w:sz w:val="26"/>
          <w:szCs w:val="26"/>
        </w:rPr>
        <w:t xml:space="preserve">C级来源（自媒体/论坛，仅作线索）</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引用次数</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https://baijiahao.baidu.com/</w:t>
            </w:r>
          </w:p>
        </w:tc>
      </w:tr>
    </w:tbl>
    <w:p>
      <w:pPr>
        <w:pStyle w:val="Heading2"/>
        <w:spacing w:after="180" w:before="180"/>
        <w:outlineLvl w:val="1"/>
      </w:pPr>
      <w:r>
        <w:rPr>
          <w:rFonts w:ascii="仿宋_GB2312" w:cs="仿宋_GB2312" w:eastAsia="仿宋_GB2312" w:hAnsi="仿宋_GB2312"/>
          <w:b/>
          <w:bCs/>
          <w:color w:val="1A5276"/>
          <w:sz w:val="28"/>
          <w:szCs w:val="28"/>
        </w:rPr>
        <w:t xml:space="preserve">免责声明</w:t>
      </w:r>
    </w:p>
    <w:p>
      <w:pPr>
        <w:pStyle w:val="ListParagraph"/>
        <w:numPr>
          <w:ilvl w:val="0"/>
          <w:numId w:val="17"/>
        </w:numPr>
      </w:pPr>
      <w:r>
        <w:rPr>
          <w:b/>
          <w:bCs/>
        </w:rPr>
        <w:t xml:space="preserve">数据来源</w:t>
      </w:r>
      <w:r>
        <w:t xml:space="preserve">：本报告所有数据均来自公开渠道，以官方原始发布（S级）和权威媒体（A级）为优先来源。每条数据均标注来源机构、发布时间和可追溯链接。数据可能存在发布延迟或后续修正，请以官方最新发布为准。</w:t>
      </w:r>
    </w:p>
    <w:p>
      <w:pPr>
        <w:pStyle w:val="ListParagraph"/>
        <w:numPr>
          <w:ilvl w:val="0"/>
          <w:numId w:val="18"/>
        </w:numPr>
      </w:pPr>
      <w:r>
        <w:rPr>
          <w:b/>
          <w:bCs/>
        </w:rPr>
        <w:t xml:space="preserve">投资风险</w:t>
      </w:r>
      <w:r>
        <w:t xml:space="preserve">：本报告内容仅供信息参考和学习交流使用，不构成任何投资建议、交易策略或推荐。金融市场有风险，投资需谨慎。读者据此操作的任何后果均由本人承担。</w:t>
      </w:r>
    </w:p>
    <w:p>
      <w:pPr>
        <w:pStyle w:val="ListParagraph"/>
        <w:numPr>
          <w:ilvl w:val="0"/>
          <w:numId w:val="19"/>
        </w:numPr>
      </w:pPr>
      <w:r>
        <w:rPr>
          <w:b/>
          <w:bCs/>
        </w:rPr>
        <w:t xml:space="preserve">预测说明</w:t>
      </w:r>
      <w:r>
        <w:t xml:space="preserve">：报告中涉及的"预测"和"展望"部分为基于公开信息的市场方向性判断，不保证准确性。预测台账持续追踪命中率，但历史命中不代表未来表现。</w:t>
      </w:r>
    </w:p>
    <w:p>
      <w:pPr>
        <w:pStyle w:val="ListParagraph"/>
        <w:numPr>
          <w:ilvl w:val="0"/>
          <w:numId w:val="20"/>
        </w:numPr>
      </w:pPr>
      <w:r>
        <w:rPr>
          <w:b/>
          <w:bCs/>
        </w:rPr>
        <w:t xml:space="preserve">数据口径</w:t>
      </w:r>
      <w:r>
        <w:t xml:space="preserve">：所有数据均标注统计口径（同比/环比、累计/当月、名义/实际等），严格区分实际值与预期值。如有数据修正，以官方最新发布为准。</w:t>
      </w:r>
    </w:p>
    <w:p>
      <w:pPr>
        <w:pStyle w:val="ListParagraph"/>
        <w:numPr>
          <w:ilvl w:val="0"/>
          <w:numId w:val="21"/>
        </w:numPr>
      </w:pPr>
      <w:r>
        <w:rPr>
          <w:b/>
          <w:bCs/>
        </w:rPr>
        <w:t xml:space="preserve">报告版本</w:t>
      </w:r>
      <w:r>
        <w:t xml:space="preserve">：v2.0 商用标准版 · 制作日期 2026-08-25 · 下一期预告 2026-08-26（周二）</w:t>
      </w:r>
    </w:p>
    <w:p>
      <w:r>
        <w:t xml:space="preserve">&gt; 数据源统计：8组关键词搜索 · 5轮交叉验证 · S级来源4个 · A级来源6个 · B级来源2个 · C级来源1个 · 共13个独立来源 · 11项信号全覆盖 &gt; &gt; AI生成 - 每日金融快讯工作台</w:t>
      </w:r>
    </w:p>
    <w:p>
      <w:r>
        <w:t xml:space="preserve">&gt; AI生成</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 2026-08-25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_GB2312" w:cs="仿宋_GB2312" w:eastAsia="仿宋_GB2312" w:hAnsi="仿宋_GB231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2026-08-25T00:55:46.447Z</dcterms:created>
  <dcterms:modified xsi:type="dcterms:W3CDTF">2026-08-25T00:55:46.449Z</dcterms:modified>
</cp:coreProperties>
</file>

<file path=docProps/custom.xml><?xml version="1.0" encoding="utf-8"?>
<Properties xmlns="http://schemas.openxmlformats.org/officeDocument/2006/custom-properties" xmlns:vt="http://schemas.openxmlformats.org/officeDocument/2006/docPropsVTypes"/>
</file>