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jc w:val="center"/>
      </w:pPr>
      <w:r>
        <w:rPr>
          <w:rFonts w:ascii="方正小标宋简体" w:hAnsi="方正小标宋简体" w:eastAsia="方正小标宋简体"/>
          <w:b w:val="0"/>
          <w:sz w:val="32"/>
        </w:rPr>
        <w:t>第九届“强网”拟态防御国际精英挑战赛</w:t>
      </w:r>
    </w:p>
    <w:p>
      <w:pPr>
        <w:spacing w:after="240"/>
        <w:jc w:val="center"/>
      </w:pPr>
      <w:r>
        <w:rPr>
          <w:rFonts w:ascii="方正小标宋简体" w:hAnsi="方正小标宋简体" w:eastAsia="方正小标宋简体"/>
          <w:b w:val="0"/>
          <w:sz w:val="36"/>
        </w:rPr>
        <w:t>设计安全大赛赛题</w:t>
      </w:r>
    </w:p>
    <w:p>
      <w:pPr>
        <w:spacing w:after="480"/>
        <w:jc w:val="center"/>
      </w:pPr>
      <w:r>
        <w:rPr>
          <w:rFonts w:ascii="黑体" w:hAnsi="黑体" w:eastAsia="黑体"/>
          <w:b w:val="0"/>
          <w:color w:val="173F70"/>
          <w:sz w:val="30"/>
        </w:rPr>
        <w:t>面向软件多样性的异构变体构造与安全增益验证</w:t>
      </w:r>
    </w:p>
    <w:p w14:paraId="352C38E5">
      <w:pPr>
        <w:pStyle w:val="2"/>
        <w:keepNext/>
        <w:spacing w:before="200" w:after="80" w:line="360" w:lineRule="auto"/>
        <w:ind w:firstLine="0"/>
        <w:jc w:val="both"/>
      </w:pPr>
      <w:r>
        <w:rPr>
          <w:rFonts w:ascii="黑体" w:hAnsi="黑体" w:eastAsia="黑体" w:cs="Times New Roman"/>
          <w:b w:val="0"/>
          <w:sz w:val="26"/>
        </w:rPr>
        <w:t>一、题目背景</w:t>
      </w:r>
    </w:p>
    <w:p w14:paraId="05106EC9">
      <w:pPr>
        <w:pStyle w:val="5"/>
        <w:spacing w:before="0" w:after="80" w:line="360" w:lineRule="auto"/>
        <w:ind w:firstLine="420"/>
        <w:jc w:val="both"/>
      </w:pPr>
      <w:r>
        <w:rPr>
          <w:rFonts w:ascii="宋体" w:hAnsi="宋体" w:eastAsia="宋体" w:cs="Times New Roman"/>
          <w:b w:val="0"/>
          <w:sz w:val="21"/>
        </w:rPr>
        <w:t>随着软件系统的规模与复杂度持续增长，依赖单一实现、单一编译链或单一运行环境的防御方式，容易因共享缺陷与攻击路径复用产生共因失效。N-Version Programming（N版本程序设计）与软件多样性技术通过构造功能等价、内部实现或运行形态不同的软件变体，降低同一攻击、利用原语或攻击链在多个变体上同时成功的可能性。</w:t>
      </w:r>
    </w:p>
    <w:p w14:paraId="79CFF19A">
      <w:pPr>
        <w:pStyle w:val="5"/>
        <w:spacing w:before="0" w:after="80" w:line="360" w:lineRule="auto"/>
        <w:ind w:firstLine="420"/>
        <w:jc w:val="both"/>
      </w:pPr>
      <w:r>
        <w:rPr>
          <w:rFonts w:ascii="宋体" w:hAnsi="宋体" w:eastAsia="宋体" w:cs="Times New Roman"/>
          <w:b w:val="0"/>
          <w:sz w:val="21"/>
        </w:rPr>
        <w:t>本赛题采用开放式作品赛形式。参赛队伍自主选择基准程序，设计并实现可自动化运行的异构变体生成流水线，</w:t>
      </w:r>
      <w:r>
        <w:rPr>
          <w:rFonts w:hint="eastAsia" w:ascii="宋体" w:hAnsi="宋体" w:eastAsia="宋体" w:cs="Times New Roman"/>
          <w:b w:val="0"/>
          <w:sz w:val="21"/>
          <w:lang w:val="en-US" w:eastAsia="zh-CN"/>
        </w:rPr>
        <w:t>利用流水线</w:t>
      </w:r>
      <w:r>
        <w:rPr>
          <w:rFonts w:ascii="宋体" w:hAnsi="宋体" w:eastAsia="宋体" w:cs="Times New Roman"/>
          <w:b w:val="0"/>
          <w:sz w:val="21"/>
        </w:rPr>
        <w:t>生成两个功能等价的</w:t>
      </w:r>
      <w:r>
        <w:rPr>
          <w:rFonts w:hint="eastAsia" w:ascii="宋体" w:hAnsi="宋体" w:eastAsia="宋体" w:cs="Times New Roman"/>
          <w:b w:val="0"/>
          <w:sz w:val="21"/>
          <w:lang w:val="en-US" w:eastAsia="zh-CN"/>
        </w:rPr>
        <w:t>软件</w:t>
      </w:r>
      <w:r>
        <w:rPr>
          <w:rFonts w:ascii="宋体" w:hAnsi="宋体" w:eastAsia="宋体" w:cs="Times New Roman"/>
          <w:b w:val="0"/>
          <w:sz w:val="21"/>
        </w:rPr>
        <w:t>变体，并自主完成不少于3个漏洞的复现、监测、对比与结果分析。赛题重点考查变体构造方法的</w:t>
      </w:r>
      <w:r>
        <w:rPr>
          <w:rFonts w:ascii="宋体" w:hAnsi="宋体" w:eastAsia="宋体" w:cs="Times New Roman"/>
          <w:b w:val="0"/>
          <w:sz w:val="21"/>
        </w:rPr>
        <w:t>创新性、泛化能力与实用性</w:t>
      </w:r>
      <w:r>
        <w:rPr>
          <w:rFonts w:ascii="宋体" w:hAnsi="宋体" w:eastAsia="宋体" w:cs="Times New Roman"/>
          <w:b w:val="0"/>
          <w:sz w:val="21"/>
        </w:rPr>
        <w:t>，以及参赛队伍对软件多样性安全增益的可复现验证能力。</w:t>
      </w:r>
    </w:p>
    <w:p w14:paraId="7387529A">
      <w:pPr>
        <w:pStyle w:val="2"/>
        <w:keepNext/>
        <w:spacing w:before="200" w:after="80" w:line="360" w:lineRule="auto"/>
        <w:ind w:firstLine="0"/>
        <w:jc w:val="both"/>
      </w:pPr>
      <w:r>
        <w:rPr>
          <w:rFonts w:ascii="黑体" w:hAnsi="黑体" w:eastAsia="黑体" w:cs="Times New Roman"/>
          <w:b w:val="0"/>
          <w:sz w:val="26"/>
        </w:rPr>
        <w:t>二、题目描述</w:t>
      </w:r>
    </w:p>
    <w:p w14:paraId="6E0C90AB">
      <w:pPr>
        <w:pStyle w:val="5"/>
        <w:spacing w:before="0" w:after="80" w:line="360" w:lineRule="auto"/>
        <w:ind w:firstLine="420"/>
        <w:jc w:val="both"/>
      </w:pPr>
      <w:r>
        <w:rPr>
          <w:rFonts w:ascii="宋体" w:hAnsi="宋体" w:eastAsia="宋体" w:cs="Times New Roman"/>
          <w:b w:val="0"/>
          <w:sz w:val="21"/>
        </w:rPr>
        <w:t>参赛队伍应提交一套完整的“基准程序输入—异构变体自动生成—漏洞验证与差异检测—安全增益分析”作品。评审将综合考察系统自动化程度、变体差异的有效性、漏洞与攻击类型的丰富度、攻击跨变体迁移难度、证据完整性与工程可用性。</w:t>
      </w:r>
    </w:p>
    <w:p w14:paraId="51C49AE1">
      <w:pPr>
        <w:pStyle w:val="5"/>
        <w:keepNext/>
        <w:spacing w:before="0" w:after="80" w:line="360" w:lineRule="auto"/>
        <w:ind w:firstLine="480"/>
        <w:jc w:val="both"/>
      </w:pPr>
      <w:r>
        <w:rPr>
          <w:rFonts w:ascii="黑体" w:hAnsi="黑体" w:eastAsia="黑体" w:cs="Times New Roman"/>
          <w:b w:val="0"/>
          <w:sz w:val="22"/>
        </w:rPr>
        <w:t>1. 基准程序选择</w:t>
      </w:r>
    </w:p>
    <w:p w14:paraId="738CE71F">
      <w:pPr>
        <w:pStyle w:val="5"/>
        <w:spacing w:before="0" w:after="80" w:line="360" w:lineRule="auto"/>
        <w:ind w:firstLine="420"/>
        <w:jc w:val="both"/>
      </w:pPr>
      <w:r>
        <w:rPr>
          <w:rFonts w:ascii="宋体" w:hAnsi="宋体" w:eastAsia="宋体" w:cs="Times New Roman"/>
          <w:b w:val="0"/>
          <w:sz w:val="21"/>
        </w:rPr>
        <w:t>参赛队伍可自主选择自主开发或合法获得的开源软件作为基准程序。基准程序应具有明确的功能接口、可复现的构建与运行方式，并能在Linux x86-64环境中部署。鼓励具有网络接口或外部输入处理能力的真实软件或有代表性的组件。基准程序的来源、版本、许可证、依赖与已知限制须在文档中说明。</w:t>
      </w:r>
    </w:p>
    <w:p w14:paraId="463924C4">
      <w:pPr>
        <w:pStyle w:val="5"/>
        <w:spacing w:before="0" w:after="80" w:line="360" w:lineRule="auto"/>
        <w:ind w:firstLine="420"/>
        <w:jc w:val="both"/>
      </w:pPr>
      <w:r>
        <w:rPr>
          <w:rFonts w:ascii="宋体" w:hAnsi="宋体" w:eastAsia="宋体" w:cs="Times New Roman"/>
          <w:b w:val="0"/>
          <w:sz w:val="21"/>
        </w:rPr>
        <w:t>过于简单、仅为展示某一个漏洞而临时编写的单功能样例，可用于方法说明，但其实用性和泛化能力评分将受到限制。</w:t>
      </w:r>
    </w:p>
    <w:p w14:paraId="4211FEC7">
      <w:pPr>
        <w:pStyle w:val="5"/>
        <w:keepNext/>
        <w:spacing w:before="0" w:after="80" w:line="360" w:lineRule="auto"/>
        <w:ind w:firstLine="480"/>
        <w:jc w:val="both"/>
      </w:pPr>
      <w:r>
        <w:rPr>
          <w:rFonts w:ascii="黑体" w:hAnsi="黑体" w:eastAsia="黑体" w:cs="Times New Roman"/>
          <w:b w:val="0"/>
          <w:sz w:val="22"/>
        </w:rPr>
        <w:t>2. 异构变体生成流水线</w:t>
      </w:r>
    </w:p>
    <w:p w14:paraId="2B1F6515">
      <w:pPr>
        <w:pStyle w:val="5"/>
        <w:spacing w:before="0" w:after="80" w:line="360" w:lineRule="auto"/>
        <w:ind w:firstLine="420"/>
        <w:jc w:val="both"/>
      </w:pPr>
      <w:r>
        <w:rPr>
          <w:rFonts w:ascii="宋体" w:hAnsi="宋体" w:eastAsia="宋体" w:cs="Times New Roman"/>
          <w:b w:val="0"/>
          <w:sz w:val="21"/>
        </w:rPr>
        <w:t>参赛队伍应自主设计并构造自动化流水线系统。系统接收基准程序、构建参数和变换策略作为输入，自动完成分析、变换、构建、打包、部署与日志记录，输出可独立运行的异构变体。流水线</w:t>
      </w:r>
      <w:r>
        <w:rPr>
          <w:rFonts w:hint="eastAsia" w:ascii="宋体" w:hAnsi="宋体" w:eastAsia="宋体" w:cs="Times New Roman"/>
          <w:b w:val="0"/>
          <w:sz w:val="21"/>
          <w:lang w:val="en-US" w:eastAsia="zh-CN"/>
        </w:rPr>
        <w:t>可</w:t>
      </w:r>
      <w:r>
        <w:rPr>
          <w:rFonts w:ascii="宋体" w:hAnsi="宋体" w:eastAsia="宋体" w:cs="Times New Roman"/>
          <w:b w:val="0"/>
          <w:sz w:val="21"/>
        </w:rPr>
        <w:t>采用下列方法，鼓励组合多类方法</w:t>
      </w:r>
      <w:r>
        <w:rPr>
          <w:rFonts w:hint="eastAsia" w:ascii="宋体" w:hAnsi="宋体" w:eastAsia="宋体" w:cs="Times New Roman"/>
          <w:b w:val="0"/>
          <w:sz w:val="21"/>
          <w:lang w:val="en-US" w:eastAsia="zh-CN"/>
        </w:rPr>
        <w:t>或提出新的方法</w:t>
      </w:r>
      <w:r>
        <w:rPr>
          <w:rFonts w:ascii="宋体" w:hAnsi="宋体" w:eastAsia="宋体" w:cs="Times New Roman"/>
          <w:b w:val="0"/>
          <w:sz w:val="21"/>
        </w:rPr>
        <w:t>：</w:t>
      </w:r>
    </w:p>
    <w:p w14:paraId="2F0125F0">
      <w:pPr>
        <w:pStyle w:val="5"/>
        <w:spacing w:before="0" w:after="80" w:line="360" w:lineRule="auto"/>
        <w:ind w:firstLine="420"/>
        <w:jc w:val="both"/>
      </w:pPr>
      <w:r>
        <w:rPr>
          <w:rFonts w:ascii="宋体" w:hAnsi="宋体" w:eastAsia="宋体" w:cs="Times New Roman"/>
          <w:b w:val="0"/>
          <w:sz w:val="21"/>
        </w:rPr>
        <w:t>1）</w:t>
      </w:r>
      <w:r>
        <w:rPr>
          <w:rFonts w:hint="eastAsia" w:ascii="宋体" w:hAnsi="宋体" w:eastAsia="宋体" w:cs="Times New Roman"/>
          <w:b w:val="0"/>
          <w:sz w:val="21"/>
          <w:lang w:val="en-US" w:eastAsia="zh-CN"/>
        </w:rPr>
        <w:t>对于无源码基准程序，可采用</w:t>
      </w:r>
      <w:r>
        <w:rPr>
          <w:rFonts w:ascii="宋体" w:hAnsi="宋体" w:eastAsia="宋体" w:cs="Times New Roman"/>
          <w:b w:val="0"/>
          <w:sz w:val="21"/>
        </w:rPr>
        <w:t>二进制改写或程序加载多样化，如指令替换、寄存器重分配、基本块布局变换、地址空间与库加载多样化等；</w:t>
      </w:r>
    </w:p>
    <w:p w14:paraId="5666EA75">
      <w:pPr>
        <w:pStyle w:val="5"/>
        <w:spacing w:before="0" w:after="80" w:line="360" w:lineRule="auto"/>
        <w:ind w:firstLine="420"/>
        <w:jc w:val="both"/>
      </w:pPr>
      <w:r>
        <w:rPr>
          <w:rFonts w:ascii="宋体" w:hAnsi="宋体" w:eastAsia="宋体" w:cs="Times New Roman"/>
          <w:b w:val="0"/>
          <w:sz w:val="21"/>
        </w:rPr>
        <w:t>2）</w:t>
      </w:r>
      <w:r>
        <w:rPr>
          <w:rFonts w:hint="eastAsia" w:ascii="宋体" w:hAnsi="宋体" w:eastAsia="宋体" w:cs="Times New Roman"/>
          <w:b w:val="0"/>
          <w:sz w:val="21"/>
          <w:lang w:val="en-US" w:eastAsia="zh-CN"/>
        </w:rPr>
        <w:t>对于有源码基准程序，可采用</w:t>
      </w:r>
      <w:r>
        <w:rPr>
          <w:rFonts w:ascii="宋体" w:hAnsi="宋体" w:eastAsia="宋体" w:cs="Times New Roman"/>
          <w:b w:val="0"/>
          <w:sz w:val="21"/>
        </w:rPr>
        <w:t>多样化编译</w:t>
      </w:r>
      <w:r>
        <w:rPr>
          <w:rFonts w:hint="eastAsia" w:ascii="宋体" w:hAnsi="宋体" w:eastAsia="宋体" w:cs="Times New Roman"/>
          <w:b w:val="0"/>
          <w:sz w:val="21"/>
          <w:lang w:val="en-US" w:eastAsia="zh-CN"/>
        </w:rPr>
        <w:t>方法</w:t>
      </w:r>
      <w:r>
        <w:rPr>
          <w:rFonts w:ascii="宋体" w:hAnsi="宋体" w:eastAsia="宋体" w:cs="Times New Roman"/>
          <w:b w:val="0"/>
          <w:sz w:val="21"/>
        </w:rPr>
        <w:t>，如</w:t>
      </w:r>
      <w:r>
        <w:rPr>
          <w:rFonts w:hint="eastAsia" w:ascii="宋体" w:hAnsi="宋体" w:eastAsia="宋体" w:cs="Times New Roman"/>
          <w:b w:val="0"/>
          <w:sz w:val="21"/>
          <w:lang w:val="en-US" w:eastAsia="zh-CN"/>
        </w:rPr>
        <w:t>配置</w:t>
      </w:r>
      <w:r>
        <w:rPr>
          <w:rFonts w:ascii="宋体" w:hAnsi="宋体" w:eastAsia="宋体" w:cs="Times New Roman"/>
          <w:b w:val="0"/>
          <w:sz w:val="21"/>
        </w:rPr>
        <w:t>不同编译器、优化级别、链接策略、防护机制或可控随机化参数的组合；</w:t>
      </w:r>
    </w:p>
    <w:p w14:paraId="5F86CB86">
      <w:pPr>
        <w:pStyle w:val="5"/>
        <w:spacing w:before="0" w:after="80" w:line="360" w:lineRule="auto"/>
        <w:ind w:firstLine="420"/>
        <w:jc w:val="both"/>
      </w:pPr>
      <w:r>
        <w:rPr>
          <w:rFonts w:ascii="宋体" w:hAnsi="宋体" w:eastAsia="宋体" w:cs="Times New Roman"/>
          <w:b w:val="0"/>
          <w:sz w:val="21"/>
        </w:rPr>
        <w:t>3）代码生成多样化，如</w:t>
      </w:r>
      <w:r>
        <w:rPr>
          <w:rFonts w:hint="eastAsia" w:ascii="宋体" w:hAnsi="宋体" w:eastAsia="宋体" w:cs="Times New Roman"/>
          <w:b w:val="0"/>
          <w:sz w:val="21"/>
          <w:lang w:val="en-US" w:eastAsia="zh-CN"/>
        </w:rPr>
        <w:t>跨语言代码转换与</w:t>
      </w:r>
      <w:r>
        <w:rPr>
          <w:rFonts w:ascii="宋体" w:hAnsi="宋体" w:eastAsia="宋体" w:cs="Times New Roman"/>
          <w:b w:val="0"/>
          <w:sz w:val="21"/>
        </w:rPr>
        <w:t>翻译、中间表示变换、语言迁移、等价代码重构或自动生成；</w:t>
      </w:r>
    </w:p>
    <w:p w14:paraId="00C5804F">
      <w:pPr>
        <w:pStyle w:val="5"/>
        <w:spacing w:before="0" w:after="80" w:line="360" w:lineRule="auto"/>
        <w:ind w:firstLine="420"/>
        <w:jc w:val="both"/>
      </w:pPr>
      <w:r>
        <w:rPr>
          <w:rFonts w:ascii="宋体" w:hAnsi="宋体" w:eastAsia="宋体" w:cs="Times New Roman"/>
          <w:b w:val="0"/>
          <w:sz w:val="21"/>
        </w:rPr>
        <w:t>4）攻击链多样化，如通过</w:t>
      </w:r>
      <w:r>
        <w:rPr>
          <w:rFonts w:hint="eastAsia" w:ascii="宋体" w:hAnsi="宋体" w:eastAsia="宋体" w:cs="Times New Roman"/>
          <w:b w:val="0"/>
          <w:sz w:val="21"/>
          <w:lang w:val="en-US" w:eastAsia="zh-CN"/>
        </w:rPr>
        <w:t>运行环境、</w:t>
      </w:r>
      <w:r>
        <w:rPr>
          <w:rFonts w:ascii="宋体" w:hAnsi="宋体" w:eastAsia="宋体" w:cs="Times New Roman"/>
          <w:b w:val="0"/>
          <w:sz w:val="21"/>
        </w:rPr>
        <w:t>组件拆分、权限分离、调用路径、运行时选择或隔离策略的差异，使攻击者难以在不同变体上复用同一完整攻击链。</w:t>
      </w:r>
    </w:p>
    <w:p w14:paraId="0FF1B8B0">
      <w:pPr>
        <w:pStyle w:val="5"/>
        <w:spacing w:before="0" w:after="80" w:line="360" w:lineRule="auto"/>
        <w:ind w:firstLine="420"/>
        <w:jc w:val="both"/>
        <w:rPr>
          <w:rFonts w:ascii="Times New Roman" w:hAnsi="Times New Roman" w:eastAsia="仿宋_GB2312" w:cs="Times New Roman"/>
          <w:b w:val="0"/>
          <w:sz w:val="24"/>
        </w:rPr>
      </w:pPr>
      <w:r>
        <w:rPr>
          <w:rFonts w:ascii="宋体" w:hAnsi="宋体" w:eastAsia="宋体" w:cs="Times New Roman"/>
          <w:b w:val="0"/>
          <w:sz w:val="21"/>
        </w:rPr>
        <w:t>流水线应具有可重复执行的命令、配置文件或图形化操作界面，并记录工具版本、变换参数、随机种子、构建日志和产物标识。仅修改时间戳、签名、调试信息、压缩形式或其他不影响安全行为的表面差异，不计为有效异构。</w:t>
      </w:r>
    </w:p>
    <w:p w14:paraId="467251AF">
      <w:pPr>
        <w:pStyle w:val="5"/>
        <w:spacing w:before="0" w:after="80" w:line="360" w:lineRule="auto"/>
        <w:ind w:firstLine="420"/>
        <w:jc w:val="both"/>
        <w:rPr>
          <w:rFonts w:hint="eastAsia" w:ascii="Times New Roman" w:hAnsi="Times New Roman" w:eastAsia="仿宋_GB2312" w:cs="Times New Roman"/>
          <w:b w:val="0"/>
          <w:sz w:val="24"/>
          <w:highlight w:val="yellow"/>
          <w:lang w:val="en-US" w:eastAsia="zh-CN"/>
        </w:rPr>
      </w:pPr>
      <w:r>
        <w:rPr>
          <w:rFonts w:hint="eastAsia" w:ascii="宋体" w:hAnsi="宋体" w:eastAsia="宋体" w:cs="Times New Roman"/>
          <w:b w:val="0"/>
          <w:sz w:val="21"/>
          <w:lang w:val="en-US" w:eastAsia="zh-CN"/>
        </w:rPr>
        <w:t>异构生成策略约束：</w:t>
      </w:r>
    </w:p>
    <w:p w14:paraId="28C7CAE9">
      <w:pPr>
        <w:pStyle w:val="5"/>
        <w:numPr>
          <w:ilvl w:val="0"/>
          <w:numId w:val="2"/>
        </w:numPr>
        <w:spacing w:before="0" w:after="80" w:line="360" w:lineRule="auto"/>
        <w:ind w:firstLine="420"/>
        <w:jc w:val="both"/>
        <w:rPr>
          <w:rFonts w:ascii="Times New Roman" w:hAnsi="Times New Roman" w:eastAsia="仿宋_GB2312" w:cs="Times New Roman"/>
          <w:b w:val="0"/>
          <w:sz w:val="24"/>
        </w:rPr>
      </w:pPr>
      <w:r>
        <w:rPr>
          <w:rFonts w:ascii="宋体" w:hAnsi="宋体" w:eastAsia="宋体" w:cs="Times New Roman"/>
          <w:b w:val="0"/>
          <w:sz w:val="21"/>
        </w:rPr>
        <w:t>针对某个已知漏洞人工修改源码或硬编码拦截特定测试输入，不得作为流水线多样化能力的主要证据。</w:t>
      </w:r>
    </w:p>
    <w:p w14:paraId="3944D409">
      <w:pPr>
        <w:pStyle w:val="5"/>
        <w:numPr>
          <w:ilvl w:val="0"/>
          <w:numId w:val="2"/>
        </w:numPr>
        <w:spacing w:before="0" w:after="80" w:line="360" w:lineRule="auto"/>
        <w:ind w:firstLine="420"/>
        <w:jc w:val="both"/>
        <w:rPr>
          <w:rFonts w:ascii="Times New Roman" w:hAnsi="Times New Roman" w:eastAsia="仿宋_GB2312" w:cs="Times New Roman"/>
          <w:b w:val="0"/>
          <w:sz w:val="24"/>
        </w:rPr>
      </w:pPr>
      <w:r>
        <w:rPr>
          <w:rFonts w:hint="eastAsia" w:ascii="宋体" w:hAnsi="宋体" w:eastAsia="宋体" w:cs="Times New Roman"/>
          <w:b w:val="0"/>
          <w:sz w:val="21"/>
          <w:lang w:val="en-US" w:eastAsia="zh-CN"/>
        </w:rPr>
        <w:t>修复基准程序中的已知漏洞可作为异构生成策略，但由于是针对基准程序的定制化改造，其在</w:t>
      </w:r>
      <w:r>
        <w:rPr>
          <w:rFonts w:ascii="宋体" w:hAnsi="宋体" w:eastAsia="宋体" w:cs="Times New Roman"/>
          <w:b w:val="0"/>
          <w:sz w:val="21"/>
        </w:rPr>
        <w:t>实用性和泛化能力评分</w:t>
      </w:r>
      <w:r>
        <w:rPr>
          <w:rFonts w:hint="eastAsia" w:ascii="宋体" w:hAnsi="宋体" w:eastAsia="宋体" w:cs="Times New Roman"/>
          <w:b w:val="0"/>
          <w:sz w:val="21"/>
          <w:lang w:val="en-US" w:eastAsia="zh-CN"/>
        </w:rPr>
        <w:t>上</w:t>
      </w:r>
      <w:r>
        <w:rPr>
          <w:rFonts w:ascii="宋体" w:hAnsi="宋体" w:eastAsia="宋体" w:cs="Times New Roman"/>
          <w:b w:val="0"/>
          <w:sz w:val="21"/>
        </w:rPr>
        <w:t>将受到限制</w:t>
      </w:r>
      <w:r>
        <w:rPr>
          <w:rFonts w:hint="eastAsia" w:ascii="宋体" w:hAnsi="宋体" w:eastAsia="宋体" w:cs="Times New Roman"/>
          <w:b w:val="0"/>
          <w:sz w:val="21"/>
          <w:lang w:eastAsia="zh-CN"/>
        </w:rPr>
        <w:t>。</w:t>
      </w:r>
    </w:p>
    <w:p w14:paraId="53441B03">
      <w:pPr>
        <w:pStyle w:val="5"/>
        <w:keepNext/>
        <w:spacing w:before="0" w:after="80" w:line="360" w:lineRule="auto"/>
        <w:ind w:firstLine="480"/>
        <w:jc w:val="both"/>
      </w:pPr>
      <w:r>
        <w:rPr>
          <w:rFonts w:ascii="黑体" w:hAnsi="黑体" w:eastAsia="黑体" w:cs="Times New Roman"/>
          <w:b w:val="0"/>
          <w:sz w:val="22"/>
        </w:rPr>
        <w:t>3. 异构变体</w:t>
      </w:r>
    </w:p>
    <w:p w14:paraId="51D6A438">
      <w:pPr>
        <w:pStyle w:val="5"/>
        <w:spacing w:before="0" w:after="80" w:line="360" w:lineRule="auto"/>
        <w:ind w:firstLine="420"/>
        <w:jc w:val="both"/>
      </w:pPr>
      <w:r>
        <w:rPr>
          <w:rFonts w:ascii="宋体" w:hAnsi="宋体" w:eastAsia="宋体" w:cs="Times New Roman"/>
          <w:b w:val="0"/>
          <w:sz w:val="21"/>
        </w:rPr>
        <w:t>参赛队伍须使用所提交的流水线，基于同一基准程序生成并提交2个可独立部署和运行的变体，分别记为V</w:t>
      </w:r>
      <w:r>
        <w:rPr>
          <w:rFonts w:hint="eastAsia" w:ascii="宋体" w:hAnsi="宋体" w:eastAsia="宋体" w:cs="Times New Roman"/>
          <w:b w:val="0"/>
          <w:sz w:val="21"/>
          <w:lang w:val="en-US" w:eastAsia="zh-CN"/>
        </w:rPr>
        <w:t>2</w:t>
      </w:r>
      <w:r>
        <w:rPr>
          <w:rFonts w:ascii="宋体" w:hAnsi="宋体" w:eastAsia="宋体" w:cs="Times New Roman"/>
          <w:b w:val="0"/>
          <w:sz w:val="21"/>
        </w:rPr>
        <w:t>和V</w:t>
      </w:r>
      <w:r>
        <w:rPr>
          <w:rFonts w:hint="eastAsia" w:ascii="宋体" w:hAnsi="宋体" w:eastAsia="宋体" w:cs="Times New Roman"/>
          <w:b w:val="0"/>
          <w:sz w:val="21"/>
          <w:lang w:val="en-US" w:eastAsia="zh-CN"/>
        </w:rPr>
        <w:t>3，</w:t>
      </w:r>
      <w:r>
        <w:rPr>
          <w:rFonts w:ascii="宋体" w:hAnsi="宋体" w:eastAsia="宋体" w:cs="Times New Roman"/>
          <w:b w:val="0"/>
          <w:sz w:val="21"/>
        </w:rPr>
        <w:t>基准程序</w:t>
      </w:r>
      <w:r>
        <w:rPr>
          <w:rFonts w:hint="eastAsia" w:ascii="宋体" w:hAnsi="宋体" w:eastAsia="宋体" w:cs="Times New Roman"/>
          <w:b w:val="0"/>
          <w:sz w:val="21"/>
          <w:lang w:val="en-US" w:eastAsia="zh-CN"/>
        </w:rPr>
        <w:t>记为V1，共计3个软件变体</w:t>
      </w:r>
      <w:r>
        <w:rPr>
          <w:rFonts w:ascii="宋体" w:hAnsi="宋体" w:eastAsia="宋体" w:cs="Times New Roman"/>
          <w:b w:val="0"/>
          <w:sz w:val="21"/>
        </w:rPr>
        <w:t>。V2</w:t>
      </w:r>
      <w:r>
        <w:rPr>
          <w:rFonts w:hint="eastAsia" w:ascii="宋体" w:hAnsi="宋体" w:eastAsia="宋体" w:cs="Times New Roman"/>
          <w:b w:val="0"/>
          <w:sz w:val="21"/>
          <w:lang w:eastAsia="zh-CN"/>
        </w:rPr>
        <w:t>、</w:t>
      </w:r>
      <w:r>
        <w:rPr>
          <w:rFonts w:hint="eastAsia" w:ascii="宋体" w:hAnsi="宋体" w:eastAsia="宋体" w:cs="Times New Roman"/>
          <w:b w:val="0"/>
          <w:sz w:val="21"/>
          <w:lang w:val="en-US" w:eastAsia="zh-CN"/>
        </w:rPr>
        <w:t>V3</w:t>
      </w:r>
      <w:r>
        <w:rPr>
          <w:rFonts w:ascii="宋体" w:hAnsi="宋体" w:eastAsia="宋体" w:cs="Times New Roman"/>
          <w:b w:val="0"/>
          <w:sz w:val="21"/>
        </w:rPr>
        <w:t>应保持</w:t>
      </w:r>
      <w:r>
        <w:rPr>
          <w:rFonts w:hint="eastAsia" w:ascii="宋体" w:hAnsi="宋体" w:eastAsia="宋体" w:cs="Times New Roman"/>
          <w:b w:val="0"/>
          <w:sz w:val="21"/>
          <w:lang w:val="en-US" w:eastAsia="zh-CN"/>
        </w:rPr>
        <w:t>与</w:t>
      </w:r>
      <w:r>
        <w:rPr>
          <w:rFonts w:ascii="宋体" w:hAnsi="宋体" w:eastAsia="宋体" w:cs="Times New Roman"/>
          <w:b w:val="0"/>
          <w:sz w:val="21"/>
        </w:rPr>
        <w:t>基准程序</w:t>
      </w:r>
      <w:r>
        <w:rPr>
          <w:rFonts w:hint="eastAsia" w:ascii="宋体" w:hAnsi="宋体" w:eastAsia="宋体" w:cs="Times New Roman"/>
          <w:b w:val="0"/>
          <w:sz w:val="21"/>
          <w:lang w:val="en-US" w:eastAsia="zh-CN"/>
        </w:rPr>
        <w:t>V1</w:t>
      </w:r>
      <w:r>
        <w:rPr>
          <w:rFonts w:ascii="宋体" w:hAnsi="宋体" w:eastAsia="宋体" w:cs="Times New Roman"/>
          <w:b w:val="0"/>
          <w:sz w:val="21"/>
        </w:rPr>
        <w:t>的外部功能、输入输出语义</w:t>
      </w:r>
      <w:r>
        <w:rPr>
          <w:rFonts w:hint="eastAsia" w:ascii="宋体" w:hAnsi="宋体" w:eastAsia="宋体" w:cs="Times New Roman"/>
          <w:b w:val="0"/>
          <w:sz w:val="21"/>
          <w:lang w:val="en-US" w:eastAsia="zh-CN"/>
        </w:rPr>
        <w:t>的一致性</w:t>
      </w:r>
      <w:r>
        <w:rPr>
          <w:rFonts w:ascii="宋体" w:hAnsi="宋体" w:eastAsia="宋体" w:cs="Times New Roman"/>
          <w:b w:val="0"/>
          <w:sz w:val="21"/>
        </w:rPr>
        <w:t>，并通过</w:t>
      </w:r>
      <w:r>
        <w:rPr>
          <w:rFonts w:ascii="宋体" w:hAnsi="宋体" w:eastAsia="宋体" w:cs="Times New Roman"/>
          <w:b w:val="0"/>
          <w:sz w:val="21"/>
        </w:rPr>
        <w:t>功能</w:t>
      </w:r>
      <w:r>
        <w:rPr>
          <w:rFonts w:hint="eastAsia" w:ascii="宋体" w:hAnsi="宋体" w:eastAsia="宋体" w:cs="Times New Roman"/>
          <w:b w:val="0"/>
          <w:sz w:val="21"/>
          <w:lang w:val="en-US" w:eastAsia="zh-CN"/>
        </w:rPr>
        <w:t>一致性</w:t>
      </w:r>
      <w:r>
        <w:rPr>
          <w:rFonts w:ascii="宋体" w:hAnsi="宋体" w:eastAsia="宋体" w:cs="Times New Roman"/>
          <w:b w:val="0"/>
          <w:sz w:val="21"/>
        </w:rPr>
        <w:t>测试。参赛队伍应对变体间的差异来源、变换层次、性能和资源开销进行量化说明。</w:t>
      </w:r>
    </w:p>
    <w:p w14:paraId="32AFA127">
      <w:pPr>
        <w:pStyle w:val="5"/>
        <w:keepNext/>
        <w:spacing w:before="0" w:after="80" w:line="360" w:lineRule="auto"/>
        <w:ind w:firstLine="480"/>
        <w:jc w:val="both"/>
      </w:pPr>
      <w:r>
        <w:rPr>
          <w:rFonts w:ascii="黑体" w:hAnsi="黑体" w:eastAsia="黑体" w:cs="Times New Roman"/>
          <w:b w:val="0"/>
          <w:sz w:val="22"/>
        </w:rPr>
        <w:t>4. 漏洞验证与差异检测</w:t>
      </w:r>
    </w:p>
    <w:p w14:paraId="317DBBB6">
      <w:pPr>
        <w:pStyle w:val="5"/>
        <w:spacing w:before="0" w:after="80" w:line="360" w:lineRule="auto"/>
        <w:ind w:firstLine="420"/>
        <w:jc w:val="both"/>
        <w:rPr>
          <w:highlight w:val="yellow"/>
        </w:rPr>
      </w:pPr>
      <w:r>
        <w:rPr>
          <w:rFonts w:ascii="宋体" w:hAnsi="宋体" w:eastAsia="宋体" w:cs="Times New Roman"/>
          <w:b w:val="0"/>
          <w:sz w:val="21"/>
        </w:rPr>
        <w:t>参赛队伍须自主选择、复现并验证不少于3个漏洞。漏洞可为基准程序的历史已知漏洞、可确认的软件缺陷，或在合法与受控条件下构造的漏洞。每个漏洞应具有明确的根因证据，包括CVE/CWE标识（如</w:t>
      </w:r>
      <w:r>
        <w:rPr>
          <w:rFonts w:hint="eastAsia" w:ascii="宋体" w:hAnsi="宋体" w:eastAsia="宋体" w:cs="Times New Roman"/>
          <w:b w:val="0"/>
          <w:sz w:val="21"/>
          <w:lang w:val="en-US" w:eastAsia="zh-CN"/>
        </w:rPr>
        <w:t>有</w:t>
      </w:r>
      <w:r>
        <w:rPr>
          <w:rFonts w:ascii="宋体" w:hAnsi="宋体" w:eastAsia="宋体" w:cs="Times New Roman"/>
          <w:b w:val="0"/>
          <w:sz w:val="21"/>
        </w:rPr>
        <w:t>）、影响位置、触发条件、攻击目标与安全影响。</w:t>
      </w:r>
      <w:r>
        <w:rPr>
          <w:rFonts w:ascii="宋体" w:hAnsi="宋体" w:eastAsia="宋体" w:cs="Times New Roman"/>
          <w:b w:val="0"/>
          <w:sz w:val="21"/>
        </w:rPr>
        <w:t>同一根因的多个测试输入只计为1个漏洞。</w:t>
      </w:r>
    </w:p>
    <w:p w14:paraId="41A2E45C">
      <w:pPr>
        <w:pStyle w:val="5"/>
        <w:spacing w:before="0" w:after="80" w:line="360" w:lineRule="auto"/>
        <w:ind w:firstLine="420"/>
        <w:jc w:val="both"/>
        <w:rPr>
          <w:rFonts w:ascii="Times New Roman" w:hAnsi="Times New Roman" w:eastAsia="仿宋_GB2312" w:cs="Times New Roman"/>
          <w:b w:val="0"/>
          <w:sz w:val="24"/>
        </w:rPr>
      </w:pPr>
      <w:r>
        <w:rPr>
          <w:rFonts w:ascii="宋体" w:hAnsi="宋体" w:eastAsia="宋体" w:cs="Times New Roman"/>
          <w:b w:val="0"/>
          <w:sz w:val="21"/>
        </w:rPr>
        <w:t>对每个漏洞，应使用相同触发输入或攻击意图等价的自动化脚本，分别在</w:t>
      </w:r>
      <w:r>
        <w:rPr>
          <w:rFonts w:hint="eastAsia" w:ascii="宋体" w:hAnsi="宋体" w:eastAsia="宋体" w:cs="Times New Roman"/>
          <w:b w:val="0"/>
          <w:sz w:val="21"/>
          <w:lang w:val="en-US" w:eastAsia="zh-CN"/>
        </w:rPr>
        <w:t>V1、V2、V3三个变体</w:t>
      </w:r>
      <w:r>
        <w:rPr>
          <w:rFonts w:ascii="宋体" w:hAnsi="宋体" w:eastAsia="宋体" w:cs="Times New Roman"/>
          <w:b w:val="0"/>
          <w:sz w:val="21"/>
        </w:rPr>
        <w:t>上运行，并形成对比结果</w:t>
      </w:r>
      <w:r>
        <w:rPr>
          <w:rFonts w:ascii="宋体" w:hAnsi="宋体" w:eastAsia="宋体" w:cs="Times New Roman"/>
          <w:b w:val="0"/>
          <w:sz w:val="21"/>
        </w:rPr>
        <w:t>。要求至少观察到V1</w:t>
      </w:r>
      <w:r>
        <w:rPr>
          <w:rFonts w:hint="eastAsia" w:ascii="宋体" w:hAnsi="宋体" w:eastAsia="宋体" w:cs="Times New Roman"/>
          <w:b w:val="0"/>
          <w:sz w:val="21"/>
          <w:lang w:eastAsia="zh-CN"/>
        </w:rPr>
        <w:t>、</w:t>
      </w:r>
      <w:r>
        <w:rPr>
          <w:rFonts w:ascii="宋体" w:hAnsi="宋体" w:eastAsia="宋体" w:cs="Times New Roman"/>
          <w:b w:val="0"/>
          <w:sz w:val="21"/>
        </w:rPr>
        <w:t>V2</w:t>
      </w:r>
      <w:r>
        <w:rPr>
          <w:rFonts w:hint="eastAsia" w:ascii="宋体" w:hAnsi="宋体" w:eastAsia="宋体" w:cs="Times New Roman"/>
          <w:b w:val="0"/>
          <w:sz w:val="21"/>
          <w:lang w:eastAsia="zh-CN"/>
        </w:rPr>
        <w:t>、</w:t>
      </w:r>
      <w:r>
        <w:rPr>
          <w:rFonts w:hint="eastAsia" w:ascii="宋体" w:hAnsi="宋体" w:eastAsia="宋体" w:cs="Times New Roman"/>
          <w:b w:val="0"/>
          <w:sz w:val="21"/>
          <w:lang w:val="en-US" w:eastAsia="zh-CN"/>
        </w:rPr>
        <w:t>V3</w:t>
      </w:r>
      <w:r>
        <w:rPr>
          <w:rFonts w:ascii="宋体" w:hAnsi="宋体" w:eastAsia="宋体" w:cs="Times New Roman"/>
          <w:b w:val="0"/>
          <w:sz w:val="21"/>
        </w:rPr>
        <w:t>对该漏洞的表现不一致，包括但不限于：</w:t>
      </w:r>
    </w:p>
    <w:p w14:paraId="59A243B9">
      <w:pPr>
        <w:pStyle w:val="5"/>
        <w:numPr>
          <w:ilvl w:val="0"/>
          <w:numId w:val="3"/>
        </w:numPr>
        <w:spacing w:before="0" w:after="80" w:line="360" w:lineRule="auto"/>
        <w:ind w:firstLine="420"/>
        <w:jc w:val="both"/>
      </w:pPr>
      <w:r>
        <w:rPr>
          <w:rFonts w:hint="eastAsia" w:ascii="宋体" w:hAnsi="宋体" w:eastAsia="宋体" w:cs="Times New Roman"/>
          <w:b w:val="0"/>
          <w:sz w:val="21"/>
          <w:lang w:val="en-US" w:eastAsia="zh-CN"/>
        </w:rPr>
        <w:t>1</w:t>
      </w:r>
      <w:r>
        <w:rPr>
          <w:rFonts w:ascii="宋体" w:hAnsi="宋体" w:eastAsia="宋体" w:cs="Times New Roman"/>
          <w:b w:val="0"/>
          <w:sz w:val="21"/>
        </w:rPr>
        <w:t>个变体触发</w:t>
      </w:r>
      <w:r>
        <w:rPr>
          <w:rFonts w:hint="eastAsia" w:ascii="宋体" w:hAnsi="宋体" w:eastAsia="宋体" w:cs="Times New Roman"/>
          <w:b w:val="0"/>
          <w:sz w:val="21"/>
          <w:lang w:val="en-US" w:eastAsia="zh-CN"/>
        </w:rPr>
        <w:t>漏洞</w:t>
      </w:r>
      <w:r>
        <w:rPr>
          <w:rFonts w:ascii="宋体" w:hAnsi="宋体" w:eastAsia="宋体" w:cs="Times New Roman"/>
          <w:b w:val="0"/>
          <w:sz w:val="21"/>
        </w:rPr>
        <w:t>而另</w:t>
      </w:r>
      <w:r>
        <w:rPr>
          <w:rFonts w:hint="eastAsia" w:ascii="宋体" w:hAnsi="宋体" w:eastAsia="宋体" w:cs="Times New Roman"/>
          <w:b w:val="0"/>
          <w:sz w:val="21"/>
          <w:lang w:val="en-US" w:eastAsia="zh-CN"/>
        </w:rPr>
        <w:t>2个</w:t>
      </w:r>
      <w:r>
        <w:rPr>
          <w:rFonts w:ascii="宋体" w:hAnsi="宋体" w:eastAsia="宋体" w:cs="Times New Roman"/>
          <w:b w:val="0"/>
          <w:sz w:val="21"/>
        </w:rPr>
        <w:t>未触发</w:t>
      </w:r>
      <w:r>
        <w:rPr>
          <w:rFonts w:hint="eastAsia" w:ascii="宋体" w:hAnsi="宋体" w:eastAsia="宋体" w:cs="Times New Roman"/>
          <w:b w:val="0"/>
          <w:sz w:val="21"/>
          <w:lang w:eastAsia="zh-CN"/>
        </w:rPr>
        <w:t>；</w:t>
      </w:r>
    </w:p>
    <w:p w14:paraId="6CEE8590">
      <w:pPr>
        <w:pStyle w:val="5"/>
        <w:numPr>
          <w:ilvl w:val="0"/>
          <w:numId w:val="3"/>
        </w:numPr>
        <w:spacing w:before="0" w:after="80" w:line="360" w:lineRule="auto"/>
        <w:ind w:firstLine="420"/>
        <w:jc w:val="both"/>
      </w:pPr>
      <w:r>
        <w:rPr>
          <w:rFonts w:hint="eastAsia" w:ascii="宋体" w:hAnsi="宋体" w:eastAsia="宋体" w:cs="Times New Roman"/>
          <w:b w:val="0"/>
          <w:sz w:val="21"/>
          <w:lang w:val="en-US" w:eastAsia="zh-CN"/>
        </w:rPr>
        <w:t>2个变体触发漏洞而另1个未触发；</w:t>
      </w:r>
    </w:p>
    <w:p w14:paraId="1B8AC959">
      <w:pPr>
        <w:pStyle w:val="5"/>
        <w:numPr>
          <w:ilvl w:val="0"/>
          <w:numId w:val="3"/>
        </w:numPr>
        <w:spacing w:before="0" w:after="80" w:line="360" w:lineRule="auto"/>
        <w:ind w:firstLine="420"/>
        <w:jc w:val="both"/>
      </w:pPr>
      <w:r>
        <w:rPr>
          <w:rFonts w:hint="eastAsia" w:ascii="宋体" w:hAnsi="宋体" w:eastAsia="宋体" w:cs="Times New Roman"/>
          <w:b w:val="0"/>
          <w:sz w:val="21"/>
          <w:lang w:val="en-US" w:eastAsia="zh-CN"/>
        </w:rPr>
        <w:t>3个变体均触发同一漏洞，但漏洞表现不一致（如攻击</w:t>
      </w:r>
      <w:r>
        <w:rPr>
          <w:rFonts w:ascii="宋体" w:hAnsi="宋体" w:eastAsia="宋体" w:cs="Times New Roman"/>
          <w:b w:val="0"/>
          <w:sz w:val="21"/>
        </w:rPr>
        <w:t>利用</w:t>
      </w:r>
      <w:r>
        <w:rPr>
          <w:rFonts w:hint="eastAsia" w:ascii="宋体" w:hAnsi="宋体" w:eastAsia="宋体" w:cs="Times New Roman"/>
          <w:b w:val="0"/>
          <w:sz w:val="21"/>
          <w:lang w:val="en-US" w:eastAsia="zh-CN"/>
        </w:rPr>
        <w:t>的</w:t>
      </w:r>
      <w:r>
        <w:rPr>
          <w:rFonts w:ascii="宋体" w:hAnsi="宋体" w:eastAsia="宋体" w:cs="Times New Roman"/>
          <w:b w:val="0"/>
          <w:sz w:val="21"/>
        </w:rPr>
        <w:t>原语、控制流结果、信息泄露程度或最终攻击目标不同</w:t>
      </w:r>
      <w:r>
        <w:rPr>
          <w:rFonts w:hint="eastAsia" w:ascii="宋体" w:hAnsi="宋体" w:eastAsia="宋体" w:cs="Times New Roman"/>
          <w:b w:val="0"/>
          <w:sz w:val="21"/>
          <w:lang w:eastAsia="zh-CN"/>
        </w:rPr>
        <w:t>），</w:t>
      </w:r>
      <w:r>
        <w:rPr>
          <w:rFonts w:hint="eastAsia" w:ascii="宋体" w:hAnsi="宋体" w:eastAsia="宋体" w:cs="Times New Roman"/>
          <w:b w:val="0"/>
          <w:sz w:val="21"/>
          <w:lang w:val="en-US" w:eastAsia="zh-CN"/>
        </w:rPr>
        <w:t>该不同可通过外部观察发现；</w:t>
      </w:r>
    </w:p>
    <w:p w14:paraId="1F4A705D">
      <w:pPr>
        <w:pStyle w:val="5"/>
        <w:numPr>
          <w:ilvl w:val="0"/>
          <w:numId w:val="3"/>
        </w:numPr>
        <w:spacing w:before="0" w:after="80" w:line="360" w:lineRule="auto"/>
        <w:ind w:firstLine="420"/>
        <w:jc w:val="both"/>
      </w:pPr>
      <w:r>
        <w:rPr>
          <w:rFonts w:hint="eastAsia" w:ascii="宋体" w:hAnsi="宋体" w:eastAsia="宋体" w:cs="Times New Roman"/>
          <w:b w:val="0"/>
          <w:sz w:val="21"/>
          <w:lang w:val="en-US" w:eastAsia="zh-CN"/>
        </w:rPr>
        <w:t>1</w:t>
      </w:r>
      <w:r>
        <w:rPr>
          <w:rFonts w:ascii="宋体" w:hAnsi="宋体" w:eastAsia="宋体" w:cs="Times New Roman"/>
          <w:b w:val="0"/>
          <w:sz w:val="21"/>
        </w:rPr>
        <w:t>个变体能检测、隔离或拦截攻击，而另</w:t>
      </w:r>
      <w:r>
        <w:rPr>
          <w:rFonts w:hint="eastAsia" w:ascii="宋体" w:hAnsi="宋体" w:eastAsia="宋体" w:cs="Times New Roman"/>
          <w:b w:val="0"/>
          <w:sz w:val="21"/>
          <w:lang w:val="en-US" w:eastAsia="zh-CN"/>
        </w:rPr>
        <w:t>其他</w:t>
      </w:r>
      <w:r>
        <w:rPr>
          <w:rFonts w:ascii="宋体" w:hAnsi="宋体" w:eastAsia="宋体" w:cs="Times New Roman"/>
          <w:b w:val="0"/>
          <w:sz w:val="21"/>
        </w:rPr>
        <w:t>不能。</w:t>
      </w:r>
    </w:p>
    <w:p w14:paraId="75563826">
      <w:pPr>
        <w:pStyle w:val="5"/>
        <w:spacing w:before="0" w:after="80" w:line="360" w:lineRule="auto"/>
        <w:ind w:firstLine="420"/>
        <w:jc w:val="both"/>
      </w:pPr>
      <w:r>
        <w:rPr>
          <w:rFonts w:ascii="宋体" w:hAnsi="宋体" w:eastAsia="宋体" w:cs="Times New Roman"/>
          <w:b w:val="0"/>
          <w:sz w:val="21"/>
        </w:rPr>
        <w:t>差异可通过主办方可复核的监测探针或程序返回结果比对证明。可使用程序退出状态、协议响应、日志事件、调试器或动态插桩事件、系统调用、进程状态、受控标记值等作为判定依据。仅有文件哈希、代码大小、地址或指令排列不同，而没有安全相关行为差异的，不计为漏洞表现不一致。</w:t>
      </w:r>
    </w:p>
    <w:p w14:paraId="3C9DA3A2">
      <w:pPr>
        <w:pStyle w:val="5"/>
        <w:keepNext/>
        <w:spacing w:before="0" w:after="80" w:line="360" w:lineRule="auto"/>
        <w:ind w:firstLine="480"/>
        <w:jc w:val="both"/>
      </w:pPr>
      <w:r>
        <w:rPr>
          <w:rFonts w:ascii="黑体" w:hAnsi="黑体" w:eastAsia="黑体" w:cs="Times New Roman"/>
          <w:b w:val="0"/>
          <w:sz w:val="22"/>
        </w:rPr>
        <w:t xml:space="preserve">5. </w:t>
      </w:r>
      <w:r>
        <w:rPr>
          <w:rFonts w:ascii="黑体" w:hAnsi="黑体" w:eastAsia="黑体" w:cs="Times New Roman"/>
          <w:b w:val="0"/>
          <w:bCs/>
          <w:sz w:val="22"/>
        </w:rPr>
        <w:t>攻击抑制与跨变体迁移效果分析</w:t>
      </w:r>
    </w:p>
    <w:p w14:paraId="50685DEE">
      <w:pPr>
        <w:pStyle w:val="5"/>
        <w:spacing w:before="0" w:after="80" w:line="360" w:lineRule="auto"/>
        <w:ind w:firstLine="420"/>
        <w:jc w:val="both"/>
      </w:pPr>
      <w:r>
        <w:rPr>
          <w:rFonts w:ascii="宋体" w:hAnsi="宋体" w:eastAsia="宋体" w:cs="Times New Roman"/>
          <w:b w:val="0"/>
          <w:sz w:val="21"/>
        </w:rPr>
        <w:t>参赛队伍应对</w:t>
      </w:r>
      <w:r>
        <w:rPr>
          <w:rFonts w:hint="eastAsia" w:ascii="宋体" w:hAnsi="宋体" w:eastAsia="宋体" w:cs="Times New Roman"/>
          <w:b w:val="0"/>
          <w:sz w:val="21"/>
          <w:lang w:val="en-US" w:eastAsia="zh-CN"/>
        </w:rPr>
        <w:t>V1</w:t>
      </w:r>
      <w:r>
        <w:rPr>
          <w:rFonts w:ascii="宋体" w:hAnsi="宋体" w:eastAsia="宋体" w:cs="Times New Roman"/>
          <w:b w:val="0"/>
          <w:sz w:val="21"/>
        </w:rPr>
        <w:t>、V</w:t>
      </w:r>
      <w:r>
        <w:rPr>
          <w:rFonts w:hint="eastAsia" w:ascii="宋体" w:hAnsi="宋体" w:eastAsia="宋体" w:cs="Times New Roman"/>
          <w:b w:val="0"/>
          <w:sz w:val="21"/>
          <w:lang w:val="en-US" w:eastAsia="zh-CN"/>
        </w:rPr>
        <w:t>2</w:t>
      </w:r>
      <w:r>
        <w:rPr>
          <w:rFonts w:ascii="宋体" w:hAnsi="宋体" w:eastAsia="宋体" w:cs="Times New Roman"/>
          <w:b w:val="0"/>
          <w:sz w:val="21"/>
        </w:rPr>
        <w:t>和V</w:t>
      </w:r>
      <w:r>
        <w:rPr>
          <w:rFonts w:hint="eastAsia" w:ascii="宋体" w:hAnsi="宋体" w:eastAsia="宋体" w:cs="Times New Roman"/>
          <w:b w:val="0"/>
          <w:sz w:val="21"/>
          <w:lang w:val="en-US" w:eastAsia="zh-CN"/>
        </w:rPr>
        <w:t>3</w:t>
      </w:r>
      <w:r>
        <w:rPr>
          <w:rFonts w:ascii="宋体" w:hAnsi="宋体" w:eastAsia="宋体" w:cs="Times New Roman"/>
          <w:b w:val="0"/>
          <w:sz w:val="21"/>
        </w:rPr>
        <w:t>执行多组攻击或漏洞触发测试，</w:t>
      </w:r>
      <w:r>
        <w:rPr>
          <w:rFonts w:ascii="宋体" w:hAnsi="宋体" w:eastAsia="宋体" w:cs="Times New Roman"/>
          <w:b w:val="0"/>
          <w:sz w:val="21"/>
        </w:rPr>
        <w:t>以矩阵、表格或可视化方式展示不同变体的反应</w:t>
      </w:r>
      <w:r>
        <w:rPr>
          <w:rFonts w:ascii="宋体" w:hAnsi="宋体" w:eastAsia="宋体" w:cs="Times New Roman"/>
          <w:b w:val="0"/>
          <w:sz w:val="21"/>
        </w:rPr>
        <w:t>。应至少区分“漏洞未触发”、“漏洞触发但</w:t>
      </w:r>
      <w:r>
        <w:rPr>
          <w:rFonts w:hint="eastAsia" w:ascii="宋体" w:hAnsi="宋体" w:eastAsia="宋体" w:cs="Times New Roman"/>
          <w:b w:val="0"/>
          <w:sz w:val="21"/>
          <w:lang w:val="en-US" w:eastAsia="zh-CN"/>
        </w:rPr>
        <w:t>表现不一致</w:t>
      </w:r>
      <w:r>
        <w:rPr>
          <w:rFonts w:ascii="宋体" w:hAnsi="宋体" w:eastAsia="宋体" w:cs="Times New Roman"/>
          <w:b w:val="0"/>
          <w:sz w:val="21"/>
        </w:rPr>
        <w:t>”等</w:t>
      </w:r>
      <w:r>
        <w:rPr>
          <w:rFonts w:hint="eastAsia" w:ascii="宋体" w:hAnsi="宋体" w:eastAsia="宋体" w:cs="Times New Roman"/>
          <w:b w:val="0"/>
          <w:sz w:val="21"/>
          <w:lang w:val="en-US" w:eastAsia="zh-CN"/>
        </w:rPr>
        <w:t>维度</w:t>
      </w:r>
      <w:r>
        <w:rPr>
          <w:rFonts w:ascii="宋体" w:hAnsi="宋体" w:eastAsia="宋体" w:cs="Times New Roman"/>
          <w:b w:val="0"/>
          <w:sz w:val="21"/>
        </w:rPr>
        <w:t>结果。</w:t>
      </w:r>
    </w:p>
    <w:p w14:paraId="6F0EBC95">
      <w:pPr>
        <w:pStyle w:val="5"/>
        <w:spacing w:before="0" w:after="80" w:line="360" w:lineRule="auto"/>
        <w:ind w:firstLine="420"/>
        <w:jc w:val="both"/>
        <w:rPr>
          <w:rFonts w:ascii="Times New Roman" w:hAnsi="Times New Roman" w:eastAsia="仿宋_GB2312" w:cs="Times New Roman"/>
          <w:b w:val="0"/>
          <w:sz w:val="24"/>
        </w:rPr>
      </w:pPr>
      <w:r>
        <w:rPr>
          <w:rFonts w:ascii="宋体" w:hAnsi="宋体" w:eastAsia="宋体" w:cs="Times New Roman"/>
          <w:b w:val="0"/>
          <w:sz w:val="21"/>
        </w:rPr>
        <w:t>鼓励覆盖内存安全、输入注入、身份认证与授权、信息泄露、业务逻辑、拒绝服务等</w:t>
      </w:r>
      <w:r>
        <w:rPr>
          <w:rFonts w:hint="eastAsia" w:ascii="宋体" w:hAnsi="宋体" w:eastAsia="宋体" w:cs="Times New Roman"/>
          <w:b w:val="0"/>
          <w:sz w:val="21"/>
          <w:lang w:val="en-US" w:eastAsia="zh-CN"/>
        </w:rPr>
        <w:t>多种</w:t>
      </w:r>
      <w:r>
        <w:rPr>
          <w:rFonts w:ascii="宋体" w:hAnsi="宋体" w:eastAsia="宋体" w:cs="Times New Roman"/>
          <w:b w:val="0"/>
          <w:sz w:val="21"/>
        </w:rPr>
        <w:t>不同类型。在满足不少于3个有效漏洞的基础上，漏洞数量越多、类型越丰富、证据越充分，评分越高。对具有随机性的变体或攻击，应进行多次重复试验，报告试验次数、随机种子、成功率与异常样本。</w:t>
      </w:r>
    </w:p>
    <w:p w14:paraId="6280E861">
      <w:pPr>
        <w:pStyle w:val="5"/>
        <w:spacing w:before="0" w:after="80" w:line="360" w:lineRule="auto"/>
        <w:ind w:firstLine="420"/>
        <w:jc w:val="both"/>
        <w:rPr>
          <w:rFonts w:hint="default" w:ascii="Times New Roman" w:hAnsi="Times New Roman" w:eastAsia="仿宋_GB2312" w:cs="Times New Roman"/>
          <w:b w:val="0"/>
          <w:sz w:val="24"/>
          <w:lang w:val="en-US" w:eastAsia="zh-CN"/>
        </w:rPr>
      </w:pPr>
      <w:r>
        <w:rPr>
          <w:rFonts w:hint="eastAsia" w:ascii="宋体" w:hAnsi="宋体" w:eastAsia="宋体" w:cs="Times New Roman"/>
          <w:b w:val="0"/>
          <w:sz w:val="21"/>
          <w:lang w:val="en-US" w:eastAsia="zh-CN"/>
        </w:rPr>
        <w:t>特别地，鼓励参赛队伍采用</w:t>
      </w:r>
      <w:r>
        <w:rPr>
          <w:rFonts w:ascii="宋体" w:hAnsi="宋体" w:eastAsia="宋体" w:cs="Times New Roman"/>
          <w:b w:val="0"/>
          <w:sz w:val="21"/>
        </w:rPr>
        <w:t>多阶段攻击链</w:t>
      </w:r>
      <w:r>
        <w:rPr>
          <w:rFonts w:hint="eastAsia" w:ascii="宋体" w:hAnsi="宋体" w:eastAsia="宋体" w:cs="Times New Roman"/>
          <w:b w:val="0"/>
          <w:sz w:val="21"/>
          <w:lang w:eastAsia="zh-CN"/>
        </w:rPr>
        <w:t>，</w:t>
      </w:r>
      <w:r>
        <w:rPr>
          <w:rFonts w:hint="eastAsia" w:ascii="宋体" w:hAnsi="宋体" w:eastAsia="宋体" w:cs="Times New Roman"/>
          <w:b w:val="0"/>
          <w:sz w:val="21"/>
          <w:lang w:val="en-US" w:eastAsia="zh-CN"/>
        </w:rPr>
        <w:t>证明软件变体通过阻塞多阶段中的某一特定阶段而非全部阶段达成攻击抑制效果。这将获得额外的得分。</w:t>
      </w:r>
    </w:p>
    <w:p w14:paraId="2A0A572E">
      <w:pPr>
        <w:pStyle w:val="5"/>
        <w:keepNext/>
        <w:spacing w:before="0" w:after="80" w:line="360" w:lineRule="auto"/>
        <w:ind w:firstLine="480"/>
        <w:jc w:val="both"/>
      </w:pPr>
      <w:r>
        <w:rPr>
          <w:rFonts w:ascii="黑体" w:hAnsi="黑体" w:eastAsia="黑体" w:cs="Times New Roman"/>
          <w:b w:val="0"/>
          <w:sz w:val="22"/>
        </w:rPr>
        <w:t>6. 泛化能力与实用性</w:t>
      </w:r>
    </w:p>
    <w:p w14:paraId="1A0AD07B">
      <w:pPr>
        <w:pStyle w:val="5"/>
        <w:spacing w:before="0" w:after="80" w:line="360" w:lineRule="auto"/>
        <w:ind w:firstLine="420"/>
        <w:jc w:val="both"/>
        <w:rPr>
          <w:rFonts w:hint="default" w:eastAsia="仿宋_GB2312"/>
          <w:lang w:val="en-US" w:eastAsia="zh-CN"/>
        </w:rPr>
      </w:pPr>
      <w:r>
        <w:rPr>
          <w:rFonts w:ascii="宋体" w:hAnsi="宋体" w:eastAsia="宋体" w:cs="Times New Roman"/>
          <w:b w:val="0"/>
          <w:sz w:val="21"/>
        </w:rPr>
        <w:t>流水线应尽可能将变换逻辑与具体基准程序解耦，能通过配置、插件或标准化接口处理同类程序、不同版本或其他样例程序。鼓励参赛队伍使用额外程序或基准程序的其他版本进行迁移验证。作品应考虑安装部署、构建时间、运行开销、可观测性、失败处理与环境兼容性，不得仅在参赛队伍的特定机器上运行</w:t>
      </w:r>
      <w:r>
        <w:rPr>
          <w:rFonts w:hint="eastAsia" w:ascii="宋体" w:hAnsi="宋体" w:eastAsia="宋体" w:cs="Times New Roman"/>
          <w:b w:val="0"/>
          <w:sz w:val="21"/>
          <w:lang w:eastAsia="zh-CN"/>
        </w:rPr>
        <w:t>，</w:t>
      </w:r>
      <w:r>
        <w:rPr>
          <w:rFonts w:hint="eastAsia" w:ascii="宋体" w:hAnsi="宋体" w:eastAsia="宋体" w:cs="Times New Roman"/>
          <w:b w:val="0"/>
          <w:sz w:val="21"/>
          <w:lang w:val="en-US" w:eastAsia="zh-CN"/>
        </w:rPr>
        <w:t>如以容器镜像形式交付可在泛化能力与实用性方面获得更高的评分。</w:t>
      </w:r>
    </w:p>
    <w:p w14:paraId="13201C0F">
      <w:pPr>
        <w:pStyle w:val="5"/>
        <w:keepNext/>
        <w:spacing w:before="0" w:after="80" w:line="360" w:lineRule="auto"/>
        <w:ind w:firstLine="480"/>
        <w:jc w:val="both"/>
      </w:pPr>
      <w:r>
        <w:rPr>
          <w:rFonts w:ascii="黑体" w:hAnsi="黑体" w:eastAsia="黑体" w:cs="Times New Roman"/>
          <w:b w:val="0"/>
          <w:sz w:val="22"/>
        </w:rPr>
        <w:t>7. 测试安全要求</w:t>
      </w:r>
    </w:p>
    <w:p w14:paraId="1E4972F8">
      <w:pPr>
        <w:pStyle w:val="5"/>
        <w:spacing w:before="0" w:after="80" w:line="360" w:lineRule="auto"/>
        <w:ind w:firstLine="420"/>
        <w:jc w:val="both"/>
      </w:pPr>
      <w:r>
        <w:rPr>
          <w:rFonts w:ascii="宋体" w:hAnsi="宋体" w:eastAsia="宋体" w:cs="Times New Roman"/>
          <w:b w:val="0"/>
          <w:sz w:val="21"/>
        </w:rPr>
        <w:t>所有漏洞复现和攻击验证必须在参赛队伍有权控制的本地、虚拟机或容器隔离环境中完成，不得对未经授权的系统、账号、网络或数据实施测试。演示性攻击应使用无害化载荷和可回收数据，避免自传播、持久化、数据破坏或向外部网络发送敏感信息。</w:t>
      </w:r>
    </w:p>
    <w:p w14:paraId="197794CA">
      <w:pPr>
        <w:pStyle w:val="2"/>
        <w:keepNext/>
        <w:spacing w:before="200" w:after="80" w:line="360" w:lineRule="auto"/>
        <w:ind w:firstLine="0"/>
        <w:jc w:val="both"/>
      </w:pPr>
      <w:r>
        <w:rPr>
          <w:rFonts w:ascii="黑体" w:hAnsi="黑体" w:eastAsia="黑体" w:cs="Times New Roman"/>
          <w:b w:val="0"/>
          <w:sz w:val="26"/>
        </w:rPr>
        <w:t>三、交付说明</w:t>
      </w:r>
    </w:p>
    <w:p w14:paraId="465CF352">
      <w:pPr>
        <w:pStyle w:val="5"/>
        <w:spacing w:before="0" w:after="80" w:line="360" w:lineRule="auto"/>
        <w:ind w:firstLine="480"/>
        <w:jc w:val="both"/>
      </w:pPr>
      <w:r>
        <w:rPr>
          <w:rFonts w:ascii="黑体" w:hAnsi="黑体" w:eastAsia="黑体" w:cs="Times New Roman"/>
          <w:b w:val="0"/>
          <w:sz w:val="22"/>
        </w:rPr>
        <w:t>1. 参赛作品应为参赛队伍独立设计、开发完成的原创性作品。对所使用的开源软件、第三方工具、数据集和外部代码应如实说明来源和许可证。严禁抄袭、剽窃、隐瞒外部成果或伪造实验数据。</w:t>
      </w:r>
    </w:p>
    <w:p w14:paraId="21D547BD">
      <w:pPr>
        <w:pStyle w:val="5"/>
        <w:spacing w:before="0" w:after="80" w:line="360" w:lineRule="auto"/>
        <w:ind w:firstLine="480"/>
        <w:jc w:val="both"/>
      </w:pPr>
      <w:r>
        <w:rPr>
          <w:rFonts w:ascii="黑体" w:hAnsi="黑体" w:eastAsia="黑体" w:cs="Times New Roman"/>
          <w:b w:val="0"/>
          <w:sz w:val="22"/>
        </w:rPr>
        <w:t>2. 参赛队伍应在规定时间内完成系统设计、开发、漏洞验证、作品文档与演示材料。参赛包应能在评审环境中按文档重新构建和复现。</w:t>
      </w:r>
    </w:p>
    <w:p w14:paraId="1732644A">
      <w:pPr>
        <w:pStyle w:val="5"/>
        <w:spacing w:before="0" w:after="80" w:line="360" w:lineRule="auto"/>
        <w:ind w:firstLine="480"/>
        <w:jc w:val="both"/>
      </w:pPr>
      <w:r>
        <w:rPr>
          <w:rFonts w:ascii="黑体" w:hAnsi="黑体" w:eastAsia="黑体" w:cs="Times New Roman"/>
          <w:b w:val="0"/>
          <w:sz w:val="22"/>
        </w:rPr>
        <w:t>3. 作品文件建议以“战队名称+作品名称”命名。主要交付内容如下：</w:t>
      </w:r>
    </w:p>
    <w:p w14:paraId="756FC556">
      <w:pPr>
        <w:pStyle w:val="5"/>
        <w:keepNext/>
        <w:spacing w:before="0" w:after="80" w:line="360" w:lineRule="auto"/>
        <w:ind w:firstLine="480"/>
        <w:jc w:val="both"/>
      </w:pPr>
      <w:r>
        <w:rPr>
          <w:rFonts w:ascii="黑体" w:hAnsi="黑体" w:eastAsia="黑体" w:cs="Times New Roman"/>
          <w:b w:val="0"/>
          <w:sz w:val="22"/>
        </w:rPr>
        <w:t>1. 作品简介</w:t>
      </w:r>
    </w:p>
    <w:p w14:paraId="210B7F7B">
      <w:pPr>
        <w:pStyle w:val="5"/>
        <w:spacing w:before="0" w:after="80" w:line="360" w:lineRule="auto"/>
        <w:ind w:firstLine="420"/>
        <w:jc w:val="both"/>
      </w:pPr>
      <w:r>
        <w:rPr>
          <w:rFonts w:ascii="宋体" w:hAnsi="宋体" w:eastAsia="宋体" w:cs="Times New Roman"/>
          <w:b w:val="0"/>
          <w:sz w:val="21"/>
        </w:rPr>
        <w:t>作品名称、参赛队伍与成员信息、选题动机、总体方案、主要创新点。</w:t>
      </w:r>
    </w:p>
    <w:p w14:paraId="590FD6F5">
      <w:pPr>
        <w:pStyle w:val="5"/>
        <w:keepNext/>
        <w:spacing w:before="0" w:after="80" w:line="360" w:lineRule="auto"/>
        <w:ind w:firstLine="480"/>
        <w:jc w:val="both"/>
      </w:pPr>
      <w:r>
        <w:rPr>
          <w:rFonts w:ascii="黑体" w:hAnsi="黑体" w:eastAsia="黑体" w:cs="Times New Roman"/>
          <w:b w:val="0"/>
          <w:sz w:val="22"/>
        </w:rPr>
        <w:t>2. 设计文档</w:t>
      </w:r>
    </w:p>
    <w:p w14:paraId="2E0B061D">
      <w:pPr>
        <w:pStyle w:val="5"/>
        <w:spacing w:before="0" w:after="80" w:line="360" w:lineRule="auto"/>
        <w:ind w:firstLine="420"/>
        <w:jc w:val="both"/>
      </w:pPr>
      <w:r>
        <w:rPr>
          <w:rFonts w:ascii="宋体" w:hAnsi="宋体" w:eastAsia="宋体" w:cs="Times New Roman"/>
          <w:b w:val="0"/>
          <w:sz w:val="21"/>
        </w:rPr>
        <w:t>基准程序选择说明、威胁模型、流水线架构、变换原理、两个变体的生成过程与差异、泛化设计、安全边界、性能开销和已知限制。</w:t>
      </w:r>
    </w:p>
    <w:p w14:paraId="1F260975">
      <w:pPr>
        <w:pStyle w:val="5"/>
        <w:keepNext/>
        <w:spacing w:before="0" w:after="80" w:line="360" w:lineRule="auto"/>
        <w:ind w:firstLine="480"/>
        <w:jc w:val="both"/>
      </w:pPr>
      <w:r>
        <w:rPr>
          <w:rFonts w:ascii="黑体" w:hAnsi="黑体" w:eastAsia="黑体" w:cs="Times New Roman"/>
          <w:b w:val="0"/>
          <w:sz w:val="22"/>
        </w:rPr>
        <w:t>3. 软件作品</w:t>
      </w:r>
    </w:p>
    <w:p w14:paraId="4D4D3D83">
      <w:pPr>
        <w:pStyle w:val="5"/>
        <w:spacing w:before="0" w:after="80" w:line="360" w:lineRule="auto"/>
        <w:ind w:firstLine="420"/>
        <w:jc w:val="both"/>
      </w:pPr>
      <w:r>
        <w:rPr>
          <w:rFonts w:ascii="宋体" w:hAnsi="宋体" w:eastAsia="宋体" w:cs="Times New Roman"/>
          <w:b w:val="0"/>
          <w:sz w:val="21"/>
        </w:rPr>
        <w:t>异构变体生成流水线的完整源码、构建与安装脚本、配置文件、依赖清单、容器或虚拟环境文件、</w:t>
      </w:r>
      <w:r>
        <w:rPr>
          <w:rFonts w:hint="eastAsia" w:ascii="宋体" w:hAnsi="宋体" w:eastAsia="宋体" w:cs="Times New Roman"/>
          <w:b w:val="0"/>
          <w:sz w:val="21"/>
          <w:lang w:val="en-US" w:eastAsia="zh-CN"/>
        </w:rPr>
        <w:t>V1、V2和V3</w:t>
      </w:r>
      <w:r>
        <w:rPr>
          <w:rFonts w:ascii="宋体" w:hAnsi="宋体" w:eastAsia="宋体" w:cs="Times New Roman"/>
          <w:b w:val="0"/>
          <w:sz w:val="21"/>
        </w:rPr>
        <w:t>变体及其可执行产物。若某部分因许可证限制无法提交，应提供合法获取和可复现构建方法。</w:t>
      </w:r>
    </w:p>
    <w:p w14:paraId="31832E29">
      <w:pPr>
        <w:pStyle w:val="5"/>
        <w:keepNext/>
        <w:spacing w:before="0" w:after="80" w:line="360" w:lineRule="auto"/>
        <w:ind w:firstLine="480"/>
        <w:jc w:val="both"/>
      </w:pPr>
      <w:r>
        <w:rPr>
          <w:rFonts w:ascii="黑体" w:hAnsi="黑体" w:eastAsia="黑体" w:cs="Times New Roman"/>
          <w:b w:val="0"/>
          <w:sz w:val="22"/>
        </w:rPr>
        <w:t>4. 漏洞验证测试包</w:t>
      </w:r>
    </w:p>
    <w:p w14:paraId="1EB89D5E">
      <w:pPr>
        <w:pStyle w:val="5"/>
        <w:spacing w:before="0" w:after="80" w:line="360" w:lineRule="auto"/>
        <w:ind w:firstLine="420"/>
        <w:jc w:val="both"/>
      </w:pPr>
      <w:r>
        <w:rPr>
          <w:rFonts w:ascii="宋体" w:hAnsi="宋体" w:eastAsia="宋体" w:cs="Times New Roman"/>
          <w:b w:val="0"/>
          <w:sz w:val="21"/>
        </w:rPr>
        <w:t>不少于3个漏洞的触发输入、无害化攻击脚本、监测探针或结果判定程序、自动化执行脚本、预期结果、必要的环境快照与重置方法。每项测试应能对</w:t>
      </w:r>
      <w:r>
        <w:rPr>
          <w:rFonts w:hint="eastAsia" w:ascii="宋体" w:hAnsi="宋体" w:eastAsia="宋体" w:cs="Times New Roman"/>
          <w:b w:val="0"/>
          <w:sz w:val="21"/>
          <w:lang w:val="en-US" w:eastAsia="zh-CN"/>
        </w:rPr>
        <w:t>V1、V2和V3</w:t>
      </w:r>
      <w:r>
        <w:rPr>
          <w:rFonts w:ascii="宋体" w:hAnsi="宋体" w:eastAsia="宋体" w:cs="Times New Roman"/>
          <w:b w:val="0"/>
          <w:sz w:val="21"/>
        </w:rPr>
        <w:t>生成统一格式的结果记录。</w:t>
      </w:r>
    </w:p>
    <w:p w14:paraId="37350382">
      <w:pPr>
        <w:pStyle w:val="5"/>
        <w:keepNext/>
        <w:spacing w:before="0" w:after="80" w:line="360" w:lineRule="auto"/>
        <w:ind w:firstLine="480"/>
        <w:jc w:val="both"/>
      </w:pPr>
      <w:r>
        <w:rPr>
          <w:rFonts w:ascii="黑体" w:hAnsi="黑体" w:eastAsia="黑体" w:cs="Times New Roman"/>
          <w:b w:val="0"/>
          <w:sz w:val="22"/>
        </w:rPr>
        <w:t>5. 测试报告</w:t>
      </w:r>
    </w:p>
    <w:p w14:paraId="2C13270C">
      <w:pPr>
        <w:pStyle w:val="5"/>
        <w:spacing w:before="0" w:after="80" w:line="360" w:lineRule="auto"/>
        <w:ind w:firstLine="420"/>
        <w:jc w:val="both"/>
      </w:pPr>
      <w:r>
        <w:rPr>
          <w:rFonts w:ascii="宋体" w:hAnsi="宋体" w:eastAsia="宋体" w:cs="Times New Roman"/>
          <w:b w:val="0"/>
          <w:sz w:val="21"/>
        </w:rPr>
        <w:t>详细记录漏洞根因、攻击模型、测试环境、执行步骤、观测指标、原始数据、差异判定依据、漏洞—变体反应矩阵、攻击抑制效果、性能开销与结论边界。报告应区分“漏洞仍存在但利用受抑制”与“漏洞已消除”两类结论，不得以有限测试直接宣称绝对安全。</w:t>
      </w:r>
    </w:p>
    <w:p w14:paraId="75B11E6E">
      <w:pPr>
        <w:pStyle w:val="5"/>
        <w:keepNext/>
        <w:spacing w:before="0" w:after="80" w:line="360" w:lineRule="auto"/>
        <w:ind w:firstLine="480"/>
        <w:jc w:val="both"/>
      </w:pPr>
      <w:r>
        <w:rPr>
          <w:rFonts w:ascii="黑体" w:hAnsi="黑体" w:eastAsia="黑体" w:cs="Times New Roman"/>
          <w:b w:val="0"/>
          <w:sz w:val="22"/>
        </w:rPr>
        <w:t>6. 运行与演示材料</w:t>
      </w:r>
    </w:p>
    <w:p w14:paraId="69D96601">
      <w:pPr>
        <w:pStyle w:val="5"/>
        <w:spacing w:before="0" w:after="80" w:line="360" w:lineRule="auto"/>
        <w:ind w:firstLine="420"/>
        <w:jc w:val="both"/>
      </w:pPr>
      <w:r>
        <w:rPr>
          <w:rFonts w:ascii="宋体" w:hAnsi="宋体" w:eastAsia="宋体" w:cs="Times New Roman"/>
          <w:b w:val="0"/>
          <w:sz w:val="21"/>
        </w:rPr>
        <w:t>安装部署手册、一键构建或执行说明、功能测试、故障排查指南、演示文稿和演示视频。演示应完整覆盖“生成两个变体—运行功能测试—执行漏洞测试—展示差异结果”的闭环过程。</w:t>
      </w:r>
    </w:p>
    <w:p w14:paraId="25CE6C19">
      <w:pPr>
        <w:pStyle w:val="5"/>
        <w:keepNext/>
        <w:spacing w:before="0" w:after="80" w:line="360" w:lineRule="auto"/>
        <w:ind w:firstLine="480"/>
        <w:jc w:val="both"/>
      </w:pPr>
      <w:r>
        <w:rPr>
          <w:rFonts w:ascii="黑体" w:hAnsi="黑体" w:eastAsia="黑体" w:cs="Times New Roman"/>
          <w:b w:val="0"/>
          <w:sz w:val="22"/>
        </w:rPr>
        <w:t>7. 其他文档</w:t>
      </w:r>
    </w:p>
    <w:p w14:paraId="4C8AC518">
      <w:pPr>
        <w:pStyle w:val="5"/>
        <w:spacing w:before="0" w:after="80" w:line="360" w:lineRule="auto"/>
        <w:ind w:firstLine="420"/>
        <w:jc w:val="both"/>
      </w:pPr>
      <w:r>
        <w:rPr>
          <w:rFonts w:ascii="宋体" w:hAnsi="宋体" w:eastAsia="宋体" w:cs="Times New Roman"/>
          <w:b w:val="0"/>
          <w:sz w:val="21"/>
        </w:rPr>
        <w:t>除上述规定内容以外的其他作品相关材料，如实验数据集、第三方组件声明、测试环境配置、系统架构图与安全分析附录等。</w:t>
      </w:r>
    </w:p>
    <w:p w14:paraId="518144A0">
      <w:pPr>
        <w:pStyle w:val="2"/>
        <w:keepNext/>
        <w:spacing w:before="200" w:after="80" w:line="360" w:lineRule="auto"/>
        <w:ind w:firstLine="0"/>
        <w:jc w:val="both"/>
      </w:pPr>
      <w:r>
        <w:rPr>
          <w:rFonts w:ascii="黑体" w:hAnsi="黑体" w:eastAsia="黑体" w:cs="Times New Roman"/>
          <w:b w:val="0"/>
          <w:sz w:val="26"/>
        </w:rPr>
        <w:t>四、评分规则</w:t>
      </w:r>
    </w:p>
    <w:p w14:paraId="093E45E2">
      <w:pPr>
        <w:pStyle w:val="5"/>
        <w:spacing w:before="0" w:after="80" w:line="360" w:lineRule="auto"/>
        <w:ind w:firstLine="420"/>
        <w:jc w:val="both"/>
      </w:pPr>
      <w:r>
        <w:rPr>
          <w:rFonts w:ascii="宋体" w:hAnsi="宋体" w:eastAsia="宋体" w:cs="Times New Roman"/>
          <w:b w:val="0"/>
          <w:sz w:val="21"/>
        </w:rPr>
        <w:t>本赛题满分100分。其中核心技术评分80分，按“异构变体生成流水线</w:t>
      </w:r>
      <w:r>
        <w:rPr>
          <w:rFonts w:hint="eastAsia" w:ascii="宋体" w:hAnsi="宋体" w:eastAsia="宋体" w:cs="Times New Roman"/>
          <w:b w:val="0"/>
          <w:sz w:val="21"/>
          <w:lang w:val="en-US" w:eastAsia="zh-CN"/>
        </w:rPr>
        <w:t>5</w:t>
      </w:r>
      <w:r>
        <w:rPr>
          <w:rFonts w:ascii="宋体" w:hAnsi="宋体" w:eastAsia="宋体" w:cs="Times New Roman"/>
          <w:b w:val="0"/>
          <w:sz w:val="21"/>
        </w:rPr>
        <w:t>0分+漏洞验证</w:t>
      </w:r>
      <w:r>
        <w:rPr>
          <w:rFonts w:hint="eastAsia" w:ascii="宋体" w:hAnsi="宋体" w:eastAsia="宋体" w:cs="Times New Roman"/>
          <w:b w:val="0"/>
          <w:sz w:val="21"/>
          <w:lang w:val="en-US" w:eastAsia="zh-CN"/>
        </w:rPr>
        <w:t>3</w:t>
      </w:r>
      <w:r>
        <w:rPr>
          <w:rFonts w:ascii="宋体" w:hAnsi="宋体" w:eastAsia="宋体" w:cs="Times New Roman"/>
          <w:b w:val="0"/>
          <w:sz w:val="21"/>
        </w:rPr>
        <w:t>0分”平衡设置；作品质量和现场答辩各10分。</w:t>
      </w:r>
    </w:p>
    <w:p w14:paraId="4999F77A">
      <w:pPr>
        <w:pStyle w:val="5"/>
        <w:keepNext/>
        <w:spacing w:before="120" w:after="80" w:line="360" w:lineRule="auto"/>
        <w:ind w:firstLine="480"/>
        <w:jc w:val="both"/>
      </w:pPr>
      <w:r>
        <w:rPr>
          <w:rFonts w:ascii="黑体" w:hAnsi="黑体" w:eastAsia="黑体" w:cs="Times New Roman"/>
          <w:b w:val="0"/>
          <w:sz w:val="22"/>
        </w:rPr>
        <w:t>1. 异构变体生成流水线（</w:t>
      </w:r>
      <w:r>
        <w:rPr>
          <w:rFonts w:hint="eastAsia" w:ascii="黑体" w:hAnsi="黑体" w:eastAsia="黑体" w:cs="Times New Roman"/>
          <w:b w:val="0"/>
          <w:sz w:val="22"/>
          <w:lang w:val="en-US" w:eastAsia="zh-CN"/>
        </w:rPr>
        <w:t>5</w:t>
      </w:r>
      <w:r>
        <w:rPr>
          <w:rFonts w:ascii="黑体" w:hAnsi="黑体" w:eastAsia="黑体" w:cs="Times New Roman"/>
          <w:b w:val="0"/>
          <w:sz w:val="22"/>
        </w:rPr>
        <w:t>0分）</w:t>
      </w:r>
    </w:p>
    <w:tbl>
      <w:tblPr>
        <w:tblStyle w:val="11"/>
        <w:tblW w:w="8300" w:type="dxa"/>
        <w:jc w:val="center"/>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0"/>
        <w:gridCol w:w="5750"/>
        <w:gridCol w:w="900"/>
      </w:tblGrid>
      <w:tr w14:paraId="5B2A8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blHeader/>
        </w:trPr>
        <w:tc>
          <w:tcPr>
            <w:tcW w:w="1650" w:type="dxa"/>
            <w:shd w:val="clear" w:color="auto" w:fill="BFBFBF"/>
            <w:tcMar>
              <w:top w:w="100" w:type="dxa"/>
              <w:left w:w="120" w:type="dxa"/>
              <w:bottom w:w="100" w:type="dxa"/>
              <w:right w:w="120" w:type="dxa"/>
            </w:tcMar>
            <w:vAlign w:val="center"/>
            <w:shd w:fill="DCE8F6"/>
          </w:tcPr>
          <w:p w14:paraId="20BDABB0">
            <w:pPr>
              <w:spacing w:before="0" w:after="0" w:line="276" w:lineRule="auto"/>
              <w:ind w:firstLine="0"/>
              <w:jc w:val="center"/>
            </w:pPr>
            <w:r>
              <w:rPr>
                <w:rFonts w:ascii="黑体" w:hAnsi="黑体" w:eastAsia="黑体" w:cs="Times New Roman"/>
                <w:b/>
                <w:sz w:val="18"/>
              </w:rPr>
              <w:t>评分项</w:t>
            </w:r>
          </w:p>
        </w:tc>
        <w:tc>
          <w:tcPr>
            <w:tcW w:w="5750" w:type="dxa"/>
            <w:shd w:val="clear" w:color="auto" w:fill="BFBFBF"/>
            <w:tcMar>
              <w:top w:w="100" w:type="dxa"/>
              <w:left w:w="120" w:type="dxa"/>
              <w:bottom w:w="100" w:type="dxa"/>
              <w:right w:w="120" w:type="dxa"/>
            </w:tcMar>
            <w:vAlign w:val="center"/>
            <w:shd w:fill="DCE8F6"/>
          </w:tcPr>
          <w:p w14:paraId="0616ECB2">
            <w:pPr>
              <w:spacing w:before="0" w:after="0" w:line="276" w:lineRule="auto"/>
              <w:ind w:firstLine="0"/>
              <w:jc w:val="center"/>
            </w:pPr>
            <w:r>
              <w:rPr>
                <w:rFonts w:ascii="黑体" w:hAnsi="黑体" w:eastAsia="黑体" w:cs="Times New Roman"/>
                <w:b/>
                <w:sz w:val="18"/>
              </w:rPr>
              <w:t>评分说明</w:t>
            </w:r>
          </w:p>
        </w:tc>
        <w:tc>
          <w:tcPr>
            <w:tcW w:w="900" w:type="dxa"/>
            <w:shd w:val="clear" w:color="auto" w:fill="BFBFBF"/>
            <w:tcMar>
              <w:top w:w="100" w:type="dxa"/>
              <w:left w:w="120" w:type="dxa"/>
              <w:bottom w:w="100" w:type="dxa"/>
              <w:right w:w="120" w:type="dxa"/>
            </w:tcMar>
            <w:vAlign w:val="center"/>
            <w:shd w:fill="DCE8F6"/>
          </w:tcPr>
          <w:p w14:paraId="19C3D955">
            <w:pPr>
              <w:spacing w:before="0" w:after="0" w:line="276" w:lineRule="auto"/>
              <w:ind w:firstLine="0"/>
              <w:jc w:val="center"/>
            </w:pPr>
            <w:r>
              <w:rPr>
                <w:rFonts w:ascii="黑体" w:hAnsi="黑体" w:eastAsia="黑体" w:cs="Times New Roman"/>
                <w:b/>
                <w:sz w:val="18"/>
              </w:rPr>
              <w:t>分值</w:t>
            </w:r>
          </w:p>
        </w:tc>
      </w:tr>
      <w:tr w14:paraId="1CD7D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7DF2F9C7">
            <w:pPr>
              <w:spacing w:before="0" w:after="0" w:line="276" w:lineRule="auto"/>
              <w:ind w:firstLine="0"/>
              <w:jc w:val="center"/>
            </w:pPr>
            <w:r>
              <w:rPr>
                <w:rFonts w:ascii="宋体" w:hAnsi="宋体" w:eastAsia="宋体" w:cs="Times New Roman"/>
                <w:b w:val="0"/>
                <w:sz w:val="18"/>
              </w:rPr>
              <w:t>系统完整性与自动化</w:t>
            </w:r>
          </w:p>
        </w:tc>
        <w:tc>
          <w:tcPr>
            <w:tcW w:w="5750" w:type="dxa"/>
            <w:tcMar>
              <w:top w:w="100" w:type="dxa"/>
              <w:left w:w="120" w:type="dxa"/>
              <w:bottom w:w="100" w:type="dxa"/>
              <w:right w:w="120" w:type="dxa"/>
            </w:tcMar>
            <w:vAlign w:val="center"/>
          </w:tcPr>
          <w:p w14:paraId="2EC7F7CF">
            <w:pPr>
              <w:spacing w:before="0" w:after="0" w:line="276" w:lineRule="auto"/>
              <w:ind w:firstLine="0"/>
              <w:jc w:val="left"/>
            </w:pPr>
            <w:r>
              <w:rPr>
                <w:rFonts w:ascii="宋体" w:hAnsi="宋体" w:eastAsia="宋体" w:cs="Times New Roman"/>
                <w:b w:val="0"/>
                <w:sz w:val="18"/>
              </w:rPr>
              <w:t>具备从</w:t>
            </w:r>
            <w:r>
              <w:rPr>
                <w:rFonts w:hint="eastAsia" w:ascii="宋体" w:hAnsi="宋体" w:eastAsia="宋体" w:cs="Times New Roman"/>
                <w:b w:val="0"/>
                <w:sz w:val="18"/>
                <w:lang w:val="en-US" w:eastAsia="zh-CN"/>
              </w:rPr>
              <w:t>V1、V2和V3</w:t>
            </w:r>
            <w:r>
              <w:rPr>
                <w:rFonts w:ascii="宋体" w:hAnsi="宋体" w:eastAsia="宋体" w:cs="Times New Roman"/>
                <w:b w:val="0"/>
                <w:sz w:val="18"/>
              </w:rPr>
              <w:t>构建、打包和日志记录的完整闭环；接口清晰，参数和随机种子可追溯，可重复执行。</w:t>
            </w:r>
          </w:p>
        </w:tc>
        <w:tc>
          <w:tcPr>
            <w:tcW w:w="900" w:type="dxa"/>
            <w:tcMar>
              <w:top w:w="100" w:type="dxa"/>
              <w:left w:w="120" w:type="dxa"/>
              <w:bottom w:w="100" w:type="dxa"/>
              <w:right w:w="120" w:type="dxa"/>
            </w:tcMar>
            <w:vAlign w:val="center"/>
          </w:tcPr>
          <w:p w14:paraId="0654C01C">
            <w:pPr>
              <w:spacing w:before="0" w:after="0" w:line="276" w:lineRule="auto"/>
              <w:ind w:firstLine="0"/>
              <w:jc w:val="center"/>
              <w:rPr>
                <w:rFonts w:hint="eastAsia" w:eastAsia="仿宋_GB2312"/>
                <w:lang w:eastAsia="zh-CN"/>
              </w:rPr>
            </w:pPr>
            <w:r>
              <w:rPr>
                <w:rFonts w:ascii="宋体" w:hAnsi="宋体" w:eastAsia="宋体" w:cs="Times New Roman"/>
                <w:b w:val="0"/>
                <w:sz w:val="18"/>
              </w:rPr>
              <w:t>1</w:t>
            </w:r>
            <w:r>
              <w:rPr>
                <w:rFonts w:hint="eastAsia" w:ascii="宋体" w:hAnsi="宋体" w:eastAsia="宋体" w:cs="Times New Roman"/>
                <w:b w:val="0"/>
                <w:sz w:val="18"/>
                <w:lang w:val="en-US" w:eastAsia="zh-CN"/>
              </w:rPr>
              <w:t>2</w:t>
            </w:r>
          </w:p>
        </w:tc>
      </w:tr>
      <w:tr w14:paraId="0AF24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64979020">
            <w:pPr>
              <w:spacing w:before="0" w:after="0" w:line="276" w:lineRule="auto"/>
              <w:ind w:firstLine="0"/>
              <w:jc w:val="center"/>
            </w:pPr>
            <w:r>
              <w:rPr>
                <w:rFonts w:ascii="宋体" w:hAnsi="宋体" w:eastAsia="宋体" w:cs="Times New Roman"/>
                <w:b w:val="0"/>
                <w:sz w:val="18"/>
              </w:rPr>
              <w:t>创新性</w:t>
            </w:r>
          </w:p>
        </w:tc>
        <w:tc>
          <w:tcPr>
            <w:tcW w:w="5750" w:type="dxa"/>
            <w:tcMar>
              <w:top w:w="100" w:type="dxa"/>
              <w:left w:w="120" w:type="dxa"/>
              <w:bottom w:w="100" w:type="dxa"/>
              <w:right w:w="120" w:type="dxa"/>
            </w:tcMar>
            <w:vAlign w:val="center"/>
          </w:tcPr>
          <w:p w14:paraId="3424B374">
            <w:pPr>
              <w:spacing w:before="0" w:after="0" w:line="276" w:lineRule="auto"/>
              <w:ind w:firstLine="0"/>
              <w:jc w:val="left"/>
              <w:rPr>
                <w:rFonts w:hint="eastAsia" w:ascii="Times New Roman" w:hAnsi="Times New Roman" w:eastAsia="仿宋_GB2312" w:cs="Times New Roman"/>
                <w:b w:val="0"/>
                <w:sz w:val="22"/>
                <w:lang w:eastAsia="zh-CN"/>
              </w:rPr>
            </w:pPr>
            <w:r>
              <w:rPr>
                <w:rFonts w:ascii="宋体" w:hAnsi="宋体" w:eastAsia="宋体" w:cs="Times New Roman"/>
                <w:b w:val="0"/>
                <w:sz w:val="18"/>
              </w:rPr>
              <w:t>变换层次、技术原理和方法组合合理；两个变体存在与安全行为有关的有效差异，而非仅为表面差异</w:t>
            </w:r>
            <w:r>
              <w:rPr>
                <w:rFonts w:hint="eastAsia" w:ascii="宋体" w:hAnsi="宋体" w:eastAsia="宋体" w:cs="Times New Roman"/>
                <w:b w:val="0"/>
                <w:sz w:val="18"/>
                <w:lang w:eastAsia="zh-CN"/>
              </w:rPr>
              <w:t>；</w:t>
            </w:r>
          </w:p>
          <w:p w14:paraId="198D8927">
            <w:pPr>
              <w:spacing w:before="0" w:after="0" w:line="276" w:lineRule="auto"/>
              <w:ind w:firstLine="0"/>
              <w:jc w:val="left"/>
            </w:pPr>
            <w:r>
              <w:rPr>
                <w:rFonts w:ascii="宋体" w:hAnsi="宋体" w:eastAsia="宋体" w:cs="Times New Roman"/>
                <w:b w:val="0"/>
                <w:sz w:val="18"/>
              </w:rPr>
              <w:t>在变体构造策略、自动化编排、多方法融合、可观测性或安全机制方面具有创新点，且有实验证据支持。</w:t>
            </w:r>
          </w:p>
        </w:tc>
        <w:tc>
          <w:tcPr>
            <w:tcW w:w="900" w:type="dxa"/>
            <w:tcMar>
              <w:top w:w="100" w:type="dxa"/>
              <w:left w:w="120" w:type="dxa"/>
              <w:bottom w:w="100" w:type="dxa"/>
              <w:right w:w="120" w:type="dxa"/>
            </w:tcMar>
            <w:vAlign w:val="center"/>
          </w:tcPr>
          <w:p w14:paraId="65B9E440">
            <w:pPr>
              <w:spacing w:before="0" w:after="0" w:line="276" w:lineRule="auto"/>
              <w:ind w:firstLine="0"/>
              <w:jc w:val="center"/>
              <w:rPr>
                <w:rFonts w:hint="default" w:eastAsia="宋体"/>
                <w:lang w:val="en-US" w:eastAsia="zh-CN"/>
              </w:rPr>
            </w:pPr>
            <w:r>
              <w:rPr>
                <w:rFonts w:hint="eastAsia" w:ascii="宋体" w:hAnsi="宋体" w:eastAsia="宋体" w:cs="Times New Roman"/>
                <w:b w:val="0"/>
                <w:sz w:val="18"/>
                <w:lang w:val="en-US" w:eastAsia="zh-CN"/>
              </w:rPr>
              <w:t>20</w:t>
            </w:r>
          </w:p>
        </w:tc>
      </w:tr>
      <w:tr w14:paraId="212CA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621EBD3A">
            <w:pPr>
              <w:spacing w:before="0" w:after="0" w:line="276" w:lineRule="auto"/>
              <w:ind w:firstLine="0"/>
              <w:jc w:val="center"/>
            </w:pPr>
            <w:r>
              <w:rPr>
                <w:rFonts w:ascii="宋体" w:hAnsi="宋体" w:eastAsia="宋体" w:cs="Times New Roman"/>
                <w:b w:val="0"/>
                <w:sz w:val="18"/>
              </w:rPr>
              <w:t>泛化能力</w:t>
            </w:r>
          </w:p>
        </w:tc>
        <w:tc>
          <w:tcPr>
            <w:tcW w:w="5750" w:type="dxa"/>
            <w:tcMar>
              <w:top w:w="100" w:type="dxa"/>
              <w:left w:w="120" w:type="dxa"/>
              <w:bottom w:w="100" w:type="dxa"/>
              <w:right w:w="120" w:type="dxa"/>
            </w:tcMar>
            <w:vAlign w:val="center"/>
          </w:tcPr>
          <w:p w14:paraId="4F7B1DE0">
            <w:pPr>
              <w:spacing w:before="0" w:after="0" w:line="276" w:lineRule="auto"/>
              <w:ind w:firstLine="0"/>
              <w:jc w:val="left"/>
            </w:pPr>
            <w:r>
              <w:rPr>
                <w:rFonts w:ascii="宋体" w:hAnsi="宋体" w:eastAsia="宋体" w:cs="Times New Roman"/>
                <w:b w:val="0"/>
                <w:sz w:val="18"/>
              </w:rPr>
              <w:t>变换逻辑与具体漏洞或单一程序解耦；能通过配置或标准接口处理其他版本或同类程序。提供额外迁移实例可获得高分。</w:t>
            </w:r>
          </w:p>
        </w:tc>
        <w:tc>
          <w:tcPr>
            <w:tcW w:w="900" w:type="dxa"/>
            <w:tcMar>
              <w:top w:w="100" w:type="dxa"/>
              <w:left w:w="120" w:type="dxa"/>
              <w:bottom w:w="100" w:type="dxa"/>
              <w:right w:w="120" w:type="dxa"/>
            </w:tcMar>
            <w:vAlign w:val="center"/>
          </w:tcPr>
          <w:p w14:paraId="0D5F059E">
            <w:pPr>
              <w:spacing w:before="0" w:after="0" w:line="276" w:lineRule="auto"/>
              <w:ind w:firstLine="0"/>
              <w:jc w:val="center"/>
              <w:rPr>
                <w:rFonts w:hint="default" w:eastAsia="宋体"/>
                <w:lang w:val="en-US" w:eastAsia="zh-CN"/>
              </w:rPr>
            </w:pPr>
            <w:r>
              <w:rPr>
                <w:rFonts w:hint="eastAsia" w:ascii="宋体" w:hAnsi="宋体" w:eastAsia="宋体" w:cs="Times New Roman"/>
                <w:b w:val="0"/>
                <w:sz w:val="18"/>
                <w:lang w:val="en-US" w:eastAsia="zh-CN"/>
              </w:rPr>
              <w:t>10</w:t>
            </w:r>
          </w:p>
        </w:tc>
      </w:tr>
      <w:tr w14:paraId="6BE4E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55C4BCB5">
            <w:pPr>
              <w:spacing w:before="0" w:after="0" w:line="276" w:lineRule="auto"/>
              <w:ind w:firstLine="0"/>
              <w:jc w:val="center"/>
            </w:pPr>
            <w:r>
              <w:rPr>
                <w:rFonts w:ascii="宋体" w:hAnsi="宋体" w:eastAsia="宋体" w:cs="Times New Roman"/>
                <w:b w:val="0"/>
                <w:sz w:val="18"/>
              </w:rPr>
              <w:t>实用性与开销</w:t>
            </w:r>
          </w:p>
        </w:tc>
        <w:tc>
          <w:tcPr>
            <w:tcW w:w="5750" w:type="dxa"/>
            <w:tcMar>
              <w:top w:w="100" w:type="dxa"/>
              <w:left w:w="120" w:type="dxa"/>
              <w:bottom w:w="100" w:type="dxa"/>
              <w:right w:w="120" w:type="dxa"/>
            </w:tcMar>
            <w:vAlign w:val="center"/>
          </w:tcPr>
          <w:p w14:paraId="063697F8">
            <w:pPr>
              <w:spacing w:before="0" w:after="0" w:line="276" w:lineRule="auto"/>
              <w:ind w:firstLine="0"/>
              <w:jc w:val="left"/>
            </w:pPr>
            <w:r>
              <w:rPr>
                <w:rFonts w:ascii="宋体" w:hAnsi="宋体" w:eastAsia="宋体" w:cs="Times New Roman"/>
                <w:b w:val="0"/>
                <w:sz w:val="18"/>
              </w:rPr>
              <w:t>系统易于安装、部署和维护；对构建时间、运行性能、资源占用和兼容性影响有准确测试与取舍分析。</w:t>
            </w:r>
          </w:p>
        </w:tc>
        <w:tc>
          <w:tcPr>
            <w:tcW w:w="900" w:type="dxa"/>
            <w:tcMar>
              <w:top w:w="100" w:type="dxa"/>
              <w:left w:w="120" w:type="dxa"/>
              <w:bottom w:w="100" w:type="dxa"/>
              <w:right w:w="120" w:type="dxa"/>
            </w:tcMar>
            <w:vAlign w:val="center"/>
          </w:tcPr>
          <w:p w14:paraId="626C7D55">
            <w:pPr>
              <w:spacing w:before="0" w:after="0" w:line="276" w:lineRule="auto"/>
              <w:ind w:firstLine="0"/>
              <w:jc w:val="center"/>
              <w:rPr>
                <w:rFonts w:hint="default" w:eastAsia="宋体"/>
                <w:lang w:val="en-US" w:eastAsia="zh-CN"/>
              </w:rPr>
            </w:pPr>
            <w:r>
              <w:rPr>
                <w:rFonts w:hint="eastAsia" w:ascii="宋体" w:hAnsi="宋体" w:eastAsia="宋体" w:cs="Times New Roman"/>
                <w:b w:val="0"/>
                <w:sz w:val="18"/>
                <w:lang w:val="en-US" w:eastAsia="zh-CN"/>
              </w:rPr>
              <w:t>8</w:t>
            </w:r>
          </w:p>
        </w:tc>
      </w:tr>
    </w:tbl>
    <w:p w14:paraId="2A93A19B">
      <w:pPr>
        <w:spacing w:after="0" w:line="240" w:lineRule="auto"/>
      </w:pPr>
    </w:p>
    <w:p w14:paraId="2AACF25C">
      <w:pPr>
        <w:pStyle w:val="5"/>
        <w:keepNext/>
        <w:pageBreakBefore/>
        <w:spacing w:before="120" w:after="80" w:line="360" w:lineRule="auto"/>
        <w:ind w:firstLine="480"/>
        <w:jc w:val="both"/>
      </w:pPr>
      <w:r>
        <w:rPr>
          <w:rFonts w:ascii="黑体" w:hAnsi="黑体" w:eastAsia="黑体" w:cs="Times New Roman"/>
          <w:b w:val="0"/>
          <w:sz w:val="22"/>
        </w:rPr>
        <w:t>2. 漏洞验证（</w:t>
      </w:r>
      <w:r>
        <w:rPr>
          <w:rFonts w:hint="eastAsia" w:ascii="黑体" w:hAnsi="黑体" w:eastAsia="黑体" w:cs="Times New Roman"/>
          <w:b w:val="0"/>
          <w:sz w:val="22"/>
          <w:lang w:val="en-US" w:eastAsia="zh-CN"/>
        </w:rPr>
        <w:t>3</w:t>
      </w:r>
      <w:r>
        <w:rPr>
          <w:rFonts w:ascii="黑体" w:hAnsi="黑体" w:eastAsia="黑体" w:cs="Times New Roman"/>
          <w:b w:val="0"/>
          <w:sz w:val="22"/>
        </w:rPr>
        <w:t>0分）</w:t>
      </w:r>
    </w:p>
    <w:tbl>
      <w:tblPr>
        <w:tblStyle w:val="11"/>
        <w:tblW w:w="8300" w:type="dxa"/>
        <w:jc w:val="center"/>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0"/>
        <w:gridCol w:w="5750"/>
        <w:gridCol w:w="900"/>
      </w:tblGrid>
      <w:tr w14:paraId="257E3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blHeader/>
        </w:trPr>
        <w:tc>
          <w:tcPr>
            <w:tcW w:w="1650" w:type="dxa"/>
            <w:shd w:val="clear" w:color="auto" w:fill="BFBFBF"/>
            <w:tcMar>
              <w:top w:w="100" w:type="dxa"/>
              <w:left w:w="120" w:type="dxa"/>
              <w:bottom w:w="100" w:type="dxa"/>
              <w:right w:w="120" w:type="dxa"/>
            </w:tcMar>
            <w:vAlign w:val="center"/>
            <w:shd w:fill="DCE8F6"/>
          </w:tcPr>
          <w:p w14:paraId="1D185957">
            <w:pPr>
              <w:spacing w:before="0" w:after="0" w:line="276" w:lineRule="auto"/>
              <w:ind w:firstLine="0"/>
              <w:jc w:val="center"/>
            </w:pPr>
            <w:r>
              <w:rPr>
                <w:rFonts w:ascii="黑体" w:hAnsi="黑体" w:eastAsia="黑体" w:cs="Times New Roman"/>
                <w:b/>
                <w:sz w:val="18"/>
              </w:rPr>
              <w:t>评分项</w:t>
            </w:r>
          </w:p>
        </w:tc>
        <w:tc>
          <w:tcPr>
            <w:tcW w:w="5750" w:type="dxa"/>
            <w:shd w:val="clear" w:color="auto" w:fill="BFBFBF"/>
            <w:tcMar>
              <w:top w:w="100" w:type="dxa"/>
              <w:left w:w="120" w:type="dxa"/>
              <w:bottom w:w="100" w:type="dxa"/>
              <w:right w:w="120" w:type="dxa"/>
            </w:tcMar>
            <w:vAlign w:val="center"/>
            <w:shd w:fill="DCE8F6"/>
          </w:tcPr>
          <w:p w14:paraId="351F32C3">
            <w:pPr>
              <w:spacing w:before="0" w:after="0" w:line="276" w:lineRule="auto"/>
              <w:ind w:firstLine="0"/>
              <w:jc w:val="center"/>
            </w:pPr>
            <w:r>
              <w:rPr>
                <w:rFonts w:ascii="黑体" w:hAnsi="黑体" w:eastAsia="黑体" w:cs="Times New Roman"/>
                <w:b/>
                <w:sz w:val="18"/>
              </w:rPr>
              <w:t>评分说明</w:t>
            </w:r>
          </w:p>
        </w:tc>
        <w:tc>
          <w:tcPr>
            <w:tcW w:w="900" w:type="dxa"/>
            <w:shd w:val="clear" w:color="auto" w:fill="BFBFBF"/>
            <w:tcMar>
              <w:top w:w="100" w:type="dxa"/>
              <w:left w:w="120" w:type="dxa"/>
              <w:bottom w:w="100" w:type="dxa"/>
              <w:right w:w="120" w:type="dxa"/>
            </w:tcMar>
            <w:vAlign w:val="center"/>
            <w:shd w:fill="DCE8F6"/>
          </w:tcPr>
          <w:p w14:paraId="5669D380">
            <w:pPr>
              <w:spacing w:before="0" w:after="0" w:line="276" w:lineRule="auto"/>
              <w:ind w:firstLine="0"/>
              <w:jc w:val="center"/>
            </w:pPr>
            <w:r>
              <w:rPr>
                <w:rFonts w:ascii="黑体" w:hAnsi="黑体" w:eastAsia="黑体" w:cs="Times New Roman"/>
                <w:b/>
                <w:sz w:val="18"/>
              </w:rPr>
              <w:t>分值</w:t>
            </w:r>
          </w:p>
        </w:tc>
      </w:tr>
      <w:tr w14:paraId="6DBC5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2F5D449A">
            <w:pPr>
              <w:spacing w:before="0" w:after="0" w:line="276" w:lineRule="auto"/>
              <w:ind w:firstLine="0"/>
              <w:jc w:val="center"/>
            </w:pPr>
            <w:r>
              <w:rPr>
                <w:rFonts w:ascii="宋体" w:hAnsi="宋体" w:eastAsia="宋体" w:cs="Times New Roman"/>
                <w:b w:val="0"/>
                <w:sz w:val="18"/>
              </w:rPr>
              <w:t>基准程序与漏洞有效性</w:t>
            </w:r>
          </w:p>
        </w:tc>
        <w:tc>
          <w:tcPr>
            <w:tcW w:w="5750" w:type="dxa"/>
            <w:tcMar>
              <w:top w:w="100" w:type="dxa"/>
              <w:left w:w="120" w:type="dxa"/>
              <w:bottom w:w="100" w:type="dxa"/>
              <w:right w:w="120" w:type="dxa"/>
            </w:tcMar>
            <w:vAlign w:val="center"/>
          </w:tcPr>
          <w:p w14:paraId="71E2C3FB">
            <w:pPr>
              <w:spacing w:before="0" w:after="0" w:line="276" w:lineRule="auto"/>
              <w:ind w:firstLine="0"/>
              <w:jc w:val="left"/>
            </w:pPr>
            <w:r>
              <w:rPr>
                <w:rFonts w:ascii="宋体" w:hAnsi="宋体" w:eastAsia="宋体" w:cs="Times New Roman"/>
                <w:b w:val="0"/>
                <w:sz w:val="18"/>
              </w:rPr>
              <w:t>基准程序具有代表性和可复现性；漏洞根因、触发条件、影响范围和攻击目标证据充分。</w:t>
            </w:r>
          </w:p>
        </w:tc>
        <w:tc>
          <w:tcPr>
            <w:tcW w:w="900" w:type="dxa"/>
            <w:tcMar>
              <w:top w:w="100" w:type="dxa"/>
              <w:left w:w="120" w:type="dxa"/>
              <w:bottom w:w="100" w:type="dxa"/>
              <w:right w:w="120" w:type="dxa"/>
            </w:tcMar>
            <w:vAlign w:val="center"/>
          </w:tcPr>
          <w:p w14:paraId="4343031C">
            <w:pPr>
              <w:spacing w:before="0" w:after="0" w:line="276" w:lineRule="auto"/>
              <w:ind w:firstLine="0"/>
              <w:jc w:val="center"/>
              <w:rPr>
                <w:rFonts w:hint="eastAsia" w:eastAsia="宋体"/>
                <w:lang w:eastAsia="zh-CN"/>
              </w:rPr>
            </w:pPr>
            <w:r>
              <w:rPr>
                <w:rFonts w:hint="eastAsia" w:ascii="宋体" w:hAnsi="宋体" w:eastAsia="宋体" w:cs="Times New Roman"/>
                <w:b w:val="0"/>
                <w:sz w:val="18"/>
                <w:lang w:val="en-US" w:eastAsia="zh-CN"/>
              </w:rPr>
              <w:t>3</w:t>
            </w:r>
          </w:p>
        </w:tc>
      </w:tr>
      <w:tr w14:paraId="412C0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58D2A298">
            <w:pPr>
              <w:spacing w:before="0" w:after="0" w:line="276" w:lineRule="auto"/>
              <w:ind w:firstLine="0"/>
              <w:jc w:val="center"/>
            </w:pPr>
            <w:r>
              <w:rPr>
                <w:rFonts w:ascii="宋体" w:hAnsi="宋体" w:eastAsia="宋体" w:cs="Times New Roman"/>
                <w:b w:val="0"/>
                <w:sz w:val="18"/>
              </w:rPr>
              <w:t>基础漏洞验证</w:t>
            </w:r>
          </w:p>
        </w:tc>
        <w:tc>
          <w:tcPr>
            <w:tcW w:w="5750" w:type="dxa"/>
            <w:tcMar>
              <w:top w:w="100" w:type="dxa"/>
              <w:left w:w="120" w:type="dxa"/>
              <w:bottom w:w="100" w:type="dxa"/>
              <w:right w:w="120" w:type="dxa"/>
            </w:tcMar>
            <w:vAlign w:val="center"/>
          </w:tcPr>
          <w:p w14:paraId="28805DDD">
            <w:pPr>
              <w:spacing w:before="0" w:after="0" w:line="276" w:lineRule="auto"/>
              <w:ind w:firstLine="0"/>
              <w:jc w:val="left"/>
            </w:pPr>
            <w:r>
              <w:rPr>
                <w:rFonts w:ascii="宋体" w:hAnsi="宋体" w:eastAsia="宋体" w:cs="Times New Roman"/>
                <w:b w:val="0"/>
                <w:sz w:val="18"/>
              </w:rPr>
              <w:t>对前3个有效漏洞逐个评分，每个</w:t>
            </w:r>
            <w:r>
              <w:rPr>
                <w:rFonts w:hint="eastAsia" w:ascii="宋体" w:hAnsi="宋体" w:eastAsia="宋体" w:cs="Times New Roman"/>
                <w:b w:val="0"/>
                <w:sz w:val="18"/>
                <w:lang w:val="en-US" w:eastAsia="zh-CN"/>
              </w:rPr>
              <w:t>2</w:t>
            </w:r>
            <w:r>
              <w:rPr>
                <w:rFonts w:ascii="宋体" w:hAnsi="宋体" w:eastAsia="宋体" w:cs="Times New Roman"/>
                <w:b w:val="0"/>
                <w:sz w:val="18"/>
              </w:rPr>
              <w:t>分。须在</w:t>
            </w:r>
            <w:r>
              <w:rPr>
                <w:rFonts w:hint="eastAsia" w:ascii="宋体" w:hAnsi="宋体" w:eastAsia="宋体" w:cs="Times New Roman"/>
                <w:b w:val="0"/>
                <w:sz w:val="18"/>
                <w:lang w:val="en-US" w:eastAsia="zh-CN"/>
              </w:rPr>
              <w:t>V1、V2和V3</w:t>
            </w:r>
            <w:r>
              <w:rPr>
                <w:rFonts w:ascii="宋体" w:hAnsi="宋体" w:eastAsia="宋体" w:cs="Times New Roman"/>
                <w:b w:val="0"/>
                <w:sz w:val="18"/>
              </w:rPr>
              <w:t>上观察到可复核的安全相关表现差异，并提供自动化测试和判定证据。</w:t>
            </w:r>
          </w:p>
        </w:tc>
        <w:tc>
          <w:tcPr>
            <w:tcW w:w="900" w:type="dxa"/>
            <w:tcMar>
              <w:top w:w="100" w:type="dxa"/>
              <w:left w:w="120" w:type="dxa"/>
              <w:bottom w:w="100" w:type="dxa"/>
              <w:right w:w="120" w:type="dxa"/>
            </w:tcMar>
            <w:vAlign w:val="center"/>
          </w:tcPr>
          <w:p w14:paraId="0D697751">
            <w:pPr>
              <w:spacing w:before="0" w:after="0" w:line="276" w:lineRule="auto"/>
              <w:ind w:firstLine="0"/>
              <w:jc w:val="center"/>
              <w:rPr>
                <w:rFonts w:hint="default" w:eastAsia="宋体"/>
                <w:lang w:val="en-US" w:eastAsia="zh-CN"/>
              </w:rPr>
            </w:pPr>
            <w:r>
              <w:rPr>
                <w:rFonts w:hint="eastAsia" w:ascii="宋体" w:hAnsi="宋体" w:eastAsia="宋体" w:cs="Times New Roman"/>
                <w:b w:val="0"/>
                <w:sz w:val="18"/>
                <w:lang w:val="en-US" w:eastAsia="zh-CN"/>
              </w:rPr>
              <w:t>6</w:t>
            </w:r>
          </w:p>
        </w:tc>
      </w:tr>
      <w:tr w14:paraId="7E9D0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3F87205C">
            <w:pPr>
              <w:spacing w:before="0" w:after="0" w:line="276" w:lineRule="auto"/>
              <w:ind w:firstLine="0"/>
              <w:jc w:val="center"/>
            </w:pPr>
            <w:r>
              <w:rPr>
                <w:rFonts w:ascii="宋体" w:hAnsi="宋体" w:eastAsia="宋体" w:cs="Times New Roman"/>
                <w:b w:val="0"/>
                <w:sz w:val="18"/>
              </w:rPr>
              <w:t>额外漏洞数量</w:t>
            </w:r>
          </w:p>
        </w:tc>
        <w:tc>
          <w:tcPr>
            <w:tcW w:w="5750" w:type="dxa"/>
            <w:tcMar>
              <w:top w:w="100" w:type="dxa"/>
              <w:left w:w="120" w:type="dxa"/>
              <w:bottom w:w="100" w:type="dxa"/>
              <w:right w:w="120" w:type="dxa"/>
            </w:tcMar>
            <w:vAlign w:val="center"/>
          </w:tcPr>
          <w:p w14:paraId="5D729A10">
            <w:pPr>
              <w:spacing w:before="0" w:after="0" w:line="276" w:lineRule="auto"/>
              <w:ind w:firstLine="0"/>
              <w:jc w:val="left"/>
            </w:pPr>
            <w:r>
              <w:rPr>
                <w:rFonts w:ascii="宋体" w:hAnsi="宋体" w:eastAsia="宋体" w:cs="Times New Roman"/>
                <w:b w:val="0"/>
                <w:sz w:val="18"/>
              </w:rPr>
              <w:t>在前3个有效漏洞基础上，每增加1个符合要求的独立漏洞得2分，最高6分。同一根因的不同输入不重复计分。</w:t>
            </w:r>
          </w:p>
        </w:tc>
        <w:tc>
          <w:tcPr>
            <w:tcW w:w="900" w:type="dxa"/>
            <w:tcMar>
              <w:top w:w="100" w:type="dxa"/>
              <w:left w:w="120" w:type="dxa"/>
              <w:bottom w:w="100" w:type="dxa"/>
              <w:right w:w="120" w:type="dxa"/>
            </w:tcMar>
            <w:vAlign w:val="center"/>
          </w:tcPr>
          <w:p w14:paraId="1FF5CA6D">
            <w:pPr>
              <w:spacing w:before="0" w:after="0" w:line="276" w:lineRule="auto"/>
              <w:ind w:firstLine="0"/>
              <w:jc w:val="center"/>
            </w:pPr>
            <w:r>
              <w:rPr>
                <w:rFonts w:ascii="宋体" w:hAnsi="宋体" w:eastAsia="宋体" w:cs="Times New Roman"/>
                <w:b w:val="0"/>
                <w:sz w:val="18"/>
              </w:rPr>
              <w:t>6</w:t>
            </w:r>
          </w:p>
        </w:tc>
      </w:tr>
      <w:tr w14:paraId="51228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057F3469">
            <w:pPr>
              <w:spacing w:before="0" w:after="0" w:line="276" w:lineRule="auto"/>
              <w:ind w:firstLine="0"/>
              <w:jc w:val="center"/>
            </w:pPr>
            <w:r>
              <w:rPr>
                <w:rFonts w:ascii="宋体" w:hAnsi="宋体" w:eastAsia="宋体" w:cs="Times New Roman"/>
                <w:b w:val="0"/>
                <w:sz w:val="18"/>
              </w:rPr>
              <w:t>漏洞与攻击类型丰富度</w:t>
            </w:r>
          </w:p>
        </w:tc>
        <w:tc>
          <w:tcPr>
            <w:tcW w:w="5750" w:type="dxa"/>
            <w:tcMar>
              <w:top w:w="100" w:type="dxa"/>
              <w:left w:w="120" w:type="dxa"/>
              <w:bottom w:w="100" w:type="dxa"/>
              <w:right w:w="120" w:type="dxa"/>
            </w:tcMar>
            <w:vAlign w:val="center"/>
          </w:tcPr>
          <w:p w14:paraId="4564BCCD">
            <w:pPr>
              <w:spacing w:before="0" w:after="0" w:line="276" w:lineRule="auto"/>
              <w:ind w:firstLine="0"/>
              <w:jc w:val="left"/>
            </w:pPr>
            <w:r>
              <w:rPr>
                <w:rFonts w:ascii="宋体" w:hAnsi="宋体" w:eastAsia="宋体" w:cs="Times New Roman"/>
                <w:b w:val="0"/>
                <w:sz w:val="18"/>
              </w:rPr>
              <w:t>综合考察CWE类别、触发面、利用原语与攻击链层次的多样性。覆盖三类及以上明显不同的漏洞或攻击机制时可获得高分。</w:t>
            </w:r>
          </w:p>
        </w:tc>
        <w:tc>
          <w:tcPr>
            <w:tcW w:w="900" w:type="dxa"/>
            <w:tcMar>
              <w:top w:w="100" w:type="dxa"/>
              <w:left w:w="120" w:type="dxa"/>
              <w:bottom w:w="100" w:type="dxa"/>
              <w:right w:w="120" w:type="dxa"/>
            </w:tcMar>
            <w:vAlign w:val="center"/>
          </w:tcPr>
          <w:p w14:paraId="0935BAC0">
            <w:pPr>
              <w:spacing w:before="0" w:after="0" w:line="276" w:lineRule="auto"/>
              <w:ind w:firstLine="0"/>
              <w:jc w:val="center"/>
            </w:pPr>
            <w:r>
              <w:rPr>
                <w:rFonts w:ascii="宋体" w:hAnsi="宋体" w:eastAsia="宋体" w:cs="Times New Roman"/>
                <w:b w:val="0"/>
                <w:sz w:val="18"/>
              </w:rPr>
              <w:t>6</w:t>
            </w:r>
          </w:p>
        </w:tc>
      </w:tr>
      <w:tr w14:paraId="628B4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3DCE4739">
            <w:pPr>
              <w:spacing w:before="0" w:after="0" w:line="276" w:lineRule="auto"/>
              <w:ind w:firstLine="0"/>
              <w:jc w:val="center"/>
            </w:pPr>
            <w:r>
              <w:rPr>
                <w:rFonts w:ascii="宋体" w:hAnsi="宋体" w:eastAsia="宋体" w:cs="Times New Roman"/>
                <w:b w:val="0"/>
                <w:sz w:val="18"/>
              </w:rPr>
              <w:t>攻击抑制与跨变体迁移效果</w:t>
            </w:r>
          </w:p>
        </w:tc>
        <w:tc>
          <w:tcPr>
            <w:tcW w:w="5750" w:type="dxa"/>
            <w:tcMar>
              <w:top w:w="100" w:type="dxa"/>
              <w:left w:w="120" w:type="dxa"/>
              <w:bottom w:w="100" w:type="dxa"/>
              <w:right w:w="120" w:type="dxa"/>
            </w:tcMar>
            <w:vAlign w:val="center"/>
          </w:tcPr>
          <w:p w14:paraId="032647B0">
            <w:pPr>
              <w:spacing w:before="0" w:after="0" w:line="276" w:lineRule="auto"/>
              <w:ind w:firstLine="0"/>
              <w:jc w:val="left"/>
              <w:rPr>
                <w:rFonts w:hint="default" w:ascii="Times New Roman" w:hAnsi="Times New Roman" w:eastAsia="仿宋_GB2312" w:cs="Times New Roman"/>
                <w:b w:val="0"/>
                <w:sz w:val="22"/>
                <w:lang w:val="en-US" w:eastAsia="zh-CN"/>
              </w:rPr>
            </w:pPr>
            <w:r>
              <w:rPr>
                <w:rFonts w:ascii="宋体" w:hAnsi="宋体" w:eastAsia="宋体" w:cs="Times New Roman"/>
                <w:b w:val="0"/>
                <w:sz w:val="18"/>
              </w:rPr>
              <w:t>将</w:t>
            </w:r>
            <w:r>
              <w:rPr>
                <w:rFonts w:hint="eastAsia" w:ascii="宋体" w:hAnsi="宋体" w:eastAsia="宋体" w:cs="Times New Roman"/>
                <w:b w:val="0"/>
                <w:sz w:val="18"/>
                <w:lang w:val="en-US" w:eastAsia="zh-CN"/>
              </w:rPr>
              <w:t>V1、V2和V3</w:t>
            </w:r>
            <w:r>
              <w:rPr>
                <w:rFonts w:ascii="宋体" w:hAnsi="宋体" w:eastAsia="宋体" w:cs="Times New Roman"/>
                <w:b w:val="0"/>
                <w:sz w:val="18"/>
              </w:rPr>
              <w:t>进行对比，评价相同攻击的迁移难度、利用成功率、攻击链中断情况和变体联合失效风险</w:t>
            </w:r>
            <w:r>
              <w:rPr>
                <w:rFonts w:hint="eastAsia" w:ascii="宋体" w:hAnsi="宋体" w:eastAsia="宋体" w:cs="Times New Roman"/>
                <w:b w:val="0"/>
                <w:sz w:val="18"/>
                <w:lang w:eastAsia="zh-CN"/>
              </w:rPr>
              <w:t>，</w:t>
            </w:r>
            <w:r>
              <w:rPr>
                <w:rFonts w:hint="eastAsia" w:ascii="宋体" w:hAnsi="宋体" w:eastAsia="宋体" w:cs="Times New Roman"/>
                <w:b w:val="0"/>
                <w:sz w:val="18"/>
                <w:lang w:val="en-US" w:eastAsia="zh-CN"/>
              </w:rPr>
              <w:t>最高3分；</w:t>
            </w:r>
          </w:p>
          <w:p w14:paraId="5F1DD29A">
            <w:pPr>
              <w:spacing w:before="0" w:after="0" w:line="276" w:lineRule="auto"/>
              <w:ind w:firstLine="0"/>
              <w:jc w:val="left"/>
              <w:rPr>
                <w:rFonts w:hint="default" w:ascii="Times New Roman" w:hAnsi="Times New Roman" w:eastAsia="仿宋_GB2312" w:cs="Times New Roman"/>
                <w:b w:val="0"/>
                <w:sz w:val="22"/>
                <w:lang w:val="en-US" w:eastAsia="zh-CN"/>
              </w:rPr>
            </w:pPr>
            <w:r>
              <w:rPr>
                <w:rFonts w:hint="eastAsia" w:ascii="宋体" w:hAnsi="宋体" w:eastAsia="宋体" w:cs="Times New Roman"/>
                <w:b w:val="0"/>
                <w:sz w:val="18"/>
                <w:lang w:val="en-US" w:eastAsia="zh-CN"/>
              </w:rPr>
              <w:t>如有</w:t>
            </w:r>
            <w:r>
              <w:rPr>
                <w:rFonts w:ascii="宋体" w:hAnsi="宋体" w:eastAsia="宋体" w:cs="Times New Roman"/>
                <w:b w:val="0"/>
                <w:sz w:val="18"/>
              </w:rPr>
              <w:t>多阶段攻击链</w:t>
            </w:r>
            <w:r>
              <w:rPr>
                <w:rFonts w:hint="eastAsia" w:ascii="宋体" w:hAnsi="宋体" w:eastAsia="宋体" w:cs="Times New Roman"/>
                <w:b w:val="0"/>
                <w:sz w:val="18"/>
                <w:lang w:val="en-US" w:eastAsia="zh-CN"/>
              </w:rPr>
              <w:t>测试例</w:t>
            </w:r>
            <w:r>
              <w:rPr>
                <w:rFonts w:hint="eastAsia" w:ascii="宋体" w:hAnsi="宋体" w:eastAsia="宋体" w:cs="Times New Roman"/>
                <w:b w:val="0"/>
                <w:sz w:val="18"/>
                <w:lang w:eastAsia="zh-CN"/>
              </w:rPr>
              <w:t>，</w:t>
            </w:r>
            <w:r>
              <w:rPr>
                <w:rFonts w:hint="eastAsia" w:ascii="宋体" w:hAnsi="宋体" w:eastAsia="宋体" w:cs="Times New Roman"/>
                <w:b w:val="0"/>
                <w:sz w:val="18"/>
                <w:lang w:val="en-US" w:eastAsia="zh-CN"/>
              </w:rPr>
              <w:t>最高4分。</w:t>
            </w:r>
          </w:p>
        </w:tc>
        <w:tc>
          <w:tcPr>
            <w:tcW w:w="900" w:type="dxa"/>
            <w:tcMar>
              <w:top w:w="100" w:type="dxa"/>
              <w:left w:w="120" w:type="dxa"/>
              <w:bottom w:w="100" w:type="dxa"/>
              <w:right w:w="120" w:type="dxa"/>
            </w:tcMar>
            <w:vAlign w:val="center"/>
          </w:tcPr>
          <w:p w14:paraId="4D33F06A">
            <w:pPr>
              <w:spacing w:before="0" w:after="0" w:line="276" w:lineRule="auto"/>
              <w:ind w:firstLine="0"/>
              <w:jc w:val="center"/>
              <w:rPr>
                <w:rFonts w:hint="eastAsia" w:eastAsia="宋体"/>
                <w:lang w:eastAsia="zh-CN"/>
              </w:rPr>
            </w:pPr>
            <w:r>
              <w:rPr>
                <w:rFonts w:hint="eastAsia" w:ascii="宋体" w:hAnsi="宋体" w:eastAsia="宋体" w:cs="Times New Roman"/>
                <w:b w:val="0"/>
                <w:sz w:val="18"/>
                <w:lang w:val="en-US" w:eastAsia="zh-CN"/>
              </w:rPr>
              <w:t>7</w:t>
            </w:r>
          </w:p>
        </w:tc>
      </w:tr>
      <w:tr w14:paraId="7683D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2A9D8994">
            <w:pPr>
              <w:spacing w:before="0" w:after="0" w:line="276" w:lineRule="auto"/>
              <w:ind w:firstLine="0"/>
              <w:jc w:val="center"/>
            </w:pPr>
            <w:r>
              <w:rPr>
                <w:rFonts w:ascii="宋体" w:hAnsi="宋体" w:eastAsia="宋体" w:cs="Times New Roman"/>
                <w:b w:val="0"/>
                <w:sz w:val="18"/>
              </w:rPr>
              <w:t>实验严谨性与可复现性</w:t>
            </w:r>
          </w:p>
        </w:tc>
        <w:tc>
          <w:tcPr>
            <w:tcW w:w="5750" w:type="dxa"/>
            <w:tcMar>
              <w:top w:w="100" w:type="dxa"/>
              <w:left w:w="120" w:type="dxa"/>
              <w:bottom w:w="100" w:type="dxa"/>
              <w:right w:w="120" w:type="dxa"/>
            </w:tcMar>
            <w:vAlign w:val="center"/>
          </w:tcPr>
          <w:p w14:paraId="277E7E6A">
            <w:pPr>
              <w:spacing w:before="0" w:after="0" w:line="276" w:lineRule="auto"/>
              <w:ind w:firstLine="0"/>
              <w:jc w:val="left"/>
            </w:pPr>
            <w:r>
              <w:rPr>
                <w:rFonts w:ascii="宋体" w:hAnsi="宋体" w:eastAsia="宋体" w:cs="Times New Roman"/>
                <w:b w:val="0"/>
                <w:sz w:val="18"/>
              </w:rPr>
              <w:t>测试包、探针、判定规则、原始数据和结果矩阵完整；随机性试验有多轮重复与成功率统计；结论边界清晰且可复核。</w:t>
            </w:r>
          </w:p>
        </w:tc>
        <w:tc>
          <w:tcPr>
            <w:tcW w:w="900" w:type="dxa"/>
            <w:tcMar>
              <w:top w:w="100" w:type="dxa"/>
              <w:left w:w="120" w:type="dxa"/>
              <w:bottom w:w="100" w:type="dxa"/>
              <w:right w:w="120" w:type="dxa"/>
            </w:tcMar>
            <w:vAlign w:val="center"/>
          </w:tcPr>
          <w:p w14:paraId="702EF227">
            <w:pPr>
              <w:spacing w:before="0" w:after="0" w:line="276" w:lineRule="auto"/>
              <w:ind w:firstLine="0"/>
              <w:jc w:val="center"/>
              <w:rPr>
                <w:rFonts w:hint="eastAsia" w:eastAsia="宋体"/>
                <w:lang w:eastAsia="zh-CN"/>
              </w:rPr>
            </w:pPr>
            <w:r>
              <w:rPr>
                <w:rFonts w:hint="eastAsia" w:ascii="宋体" w:hAnsi="宋体" w:eastAsia="宋体" w:cs="Times New Roman"/>
                <w:b w:val="0"/>
                <w:sz w:val="18"/>
                <w:lang w:val="en-US" w:eastAsia="zh-CN"/>
              </w:rPr>
              <w:t>2</w:t>
            </w:r>
          </w:p>
        </w:tc>
      </w:tr>
    </w:tbl>
    <w:p w14:paraId="14B6D85A">
      <w:pPr>
        <w:spacing w:after="0" w:line="240" w:lineRule="auto"/>
      </w:pPr>
    </w:p>
    <w:p w14:paraId="4DFAAEC3">
      <w:pPr>
        <w:pStyle w:val="5"/>
        <w:keepNext/>
        <w:spacing w:before="120" w:after="80" w:line="360" w:lineRule="auto"/>
        <w:ind w:firstLine="480"/>
        <w:jc w:val="both"/>
      </w:pPr>
      <w:r>
        <w:rPr>
          <w:rFonts w:ascii="黑体" w:hAnsi="黑体" w:eastAsia="黑体" w:cs="Times New Roman"/>
          <w:b w:val="0"/>
          <w:sz w:val="22"/>
        </w:rPr>
        <w:t>3. 作品质量与现场答辩（20分）</w:t>
      </w:r>
    </w:p>
    <w:tbl>
      <w:tblPr>
        <w:tblStyle w:val="11"/>
        <w:tblW w:w="8300" w:type="dxa"/>
        <w:jc w:val="center"/>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0"/>
        <w:gridCol w:w="5750"/>
        <w:gridCol w:w="900"/>
      </w:tblGrid>
      <w:tr w14:paraId="48B07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blHeader/>
        </w:trPr>
        <w:tc>
          <w:tcPr>
            <w:tcW w:w="1650" w:type="dxa"/>
            <w:shd w:val="clear" w:color="auto" w:fill="BFBFBF"/>
            <w:tcMar>
              <w:top w:w="100" w:type="dxa"/>
              <w:left w:w="120" w:type="dxa"/>
              <w:bottom w:w="100" w:type="dxa"/>
              <w:right w:w="120" w:type="dxa"/>
            </w:tcMar>
            <w:vAlign w:val="center"/>
            <w:shd w:fill="DCE8F6"/>
          </w:tcPr>
          <w:p w14:paraId="2BCBC95A">
            <w:pPr>
              <w:spacing w:before="0" w:after="0" w:line="276" w:lineRule="auto"/>
              <w:ind w:firstLine="0"/>
              <w:jc w:val="center"/>
            </w:pPr>
            <w:r>
              <w:rPr>
                <w:rFonts w:ascii="黑体" w:hAnsi="黑体" w:eastAsia="黑体" w:cs="Times New Roman"/>
                <w:b/>
                <w:sz w:val="18"/>
              </w:rPr>
              <w:t>评分项</w:t>
            </w:r>
          </w:p>
        </w:tc>
        <w:tc>
          <w:tcPr>
            <w:tcW w:w="5750" w:type="dxa"/>
            <w:shd w:val="clear" w:color="auto" w:fill="BFBFBF"/>
            <w:tcMar>
              <w:top w:w="100" w:type="dxa"/>
              <w:left w:w="120" w:type="dxa"/>
              <w:bottom w:w="100" w:type="dxa"/>
              <w:right w:w="120" w:type="dxa"/>
            </w:tcMar>
            <w:vAlign w:val="center"/>
            <w:shd w:fill="DCE8F6"/>
          </w:tcPr>
          <w:p w14:paraId="6C8B44EB">
            <w:pPr>
              <w:spacing w:before="0" w:after="0" w:line="276" w:lineRule="auto"/>
              <w:ind w:firstLine="0"/>
              <w:jc w:val="center"/>
            </w:pPr>
            <w:r>
              <w:rPr>
                <w:rFonts w:ascii="黑体" w:hAnsi="黑体" w:eastAsia="黑体" w:cs="Times New Roman"/>
                <w:b/>
                <w:sz w:val="18"/>
              </w:rPr>
              <w:t>评分说明</w:t>
            </w:r>
          </w:p>
        </w:tc>
        <w:tc>
          <w:tcPr>
            <w:tcW w:w="900" w:type="dxa"/>
            <w:shd w:val="clear" w:color="auto" w:fill="BFBFBF"/>
            <w:tcMar>
              <w:top w:w="100" w:type="dxa"/>
              <w:left w:w="120" w:type="dxa"/>
              <w:bottom w:w="100" w:type="dxa"/>
              <w:right w:w="120" w:type="dxa"/>
            </w:tcMar>
            <w:vAlign w:val="center"/>
            <w:shd w:fill="DCE8F6"/>
          </w:tcPr>
          <w:p w14:paraId="14346540">
            <w:pPr>
              <w:spacing w:before="0" w:after="0" w:line="276" w:lineRule="auto"/>
              <w:ind w:firstLine="0"/>
              <w:jc w:val="center"/>
            </w:pPr>
            <w:r>
              <w:rPr>
                <w:rFonts w:ascii="黑体" w:hAnsi="黑体" w:eastAsia="黑体" w:cs="Times New Roman"/>
                <w:b/>
                <w:sz w:val="18"/>
              </w:rPr>
              <w:t>分值</w:t>
            </w:r>
          </w:p>
        </w:tc>
      </w:tr>
      <w:tr w14:paraId="7994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02EF035A">
            <w:pPr>
              <w:spacing w:before="0" w:after="0" w:line="276" w:lineRule="auto"/>
              <w:ind w:firstLine="0"/>
              <w:jc w:val="center"/>
            </w:pPr>
            <w:r>
              <w:rPr>
                <w:rFonts w:ascii="宋体" w:hAnsi="宋体" w:eastAsia="宋体" w:cs="Times New Roman"/>
                <w:b w:val="0"/>
                <w:sz w:val="18"/>
              </w:rPr>
              <w:t>作品质量</w:t>
            </w:r>
          </w:p>
        </w:tc>
        <w:tc>
          <w:tcPr>
            <w:tcW w:w="5750" w:type="dxa"/>
            <w:tcMar>
              <w:top w:w="100" w:type="dxa"/>
              <w:left w:w="120" w:type="dxa"/>
              <w:bottom w:w="100" w:type="dxa"/>
              <w:right w:w="120" w:type="dxa"/>
            </w:tcMar>
            <w:vAlign w:val="center"/>
          </w:tcPr>
          <w:p w14:paraId="12B45152">
            <w:pPr>
              <w:spacing w:before="0" w:after="0" w:line="276" w:lineRule="auto"/>
              <w:ind w:firstLine="0"/>
              <w:jc w:val="left"/>
            </w:pPr>
            <w:r>
              <w:rPr>
                <w:rFonts w:ascii="宋体" w:hAnsi="宋体" w:eastAsia="宋体" w:cs="Times New Roman"/>
                <w:b w:val="0"/>
                <w:sz w:val="18"/>
              </w:rPr>
              <w:t>文档资料齐全、结构清晰；源码、基准程序、两个变体、测试脚本和配置完整可用；安装部署和复现说明准确；代码质量与工程规范良好。</w:t>
            </w:r>
          </w:p>
        </w:tc>
        <w:tc>
          <w:tcPr>
            <w:tcW w:w="900" w:type="dxa"/>
            <w:tcMar>
              <w:top w:w="100" w:type="dxa"/>
              <w:left w:w="120" w:type="dxa"/>
              <w:bottom w:w="100" w:type="dxa"/>
              <w:right w:w="120" w:type="dxa"/>
            </w:tcMar>
            <w:vAlign w:val="center"/>
          </w:tcPr>
          <w:p w14:paraId="28F87A91">
            <w:pPr>
              <w:spacing w:before="0" w:after="0" w:line="276" w:lineRule="auto"/>
              <w:ind w:firstLine="0"/>
              <w:jc w:val="center"/>
            </w:pPr>
            <w:r>
              <w:rPr>
                <w:rFonts w:ascii="宋体" w:hAnsi="宋体" w:eastAsia="宋体" w:cs="Times New Roman"/>
                <w:b w:val="0"/>
                <w:sz w:val="18"/>
              </w:rPr>
              <w:t>10</w:t>
            </w:r>
          </w:p>
        </w:tc>
      </w:tr>
      <w:tr w14:paraId="3B3BF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1650" w:type="dxa"/>
            <w:tcMar>
              <w:top w:w="100" w:type="dxa"/>
              <w:left w:w="120" w:type="dxa"/>
              <w:bottom w:w="100" w:type="dxa"/>
              <w:right w:w="120" w:type="dxa"/>
            </w:tcMar>
            <w:vAlign w:val="center"/>
          </w:tcPr>
          <w:p w14:paraId="6E95DF07">
            <w:pPr>
              <w:spacing w:before="0" w:after="0" w:line="276" w:lineRule="auto"/>
              <w:ind w:firstLine="0"/>
              <w:jc w:val="center"/>
            </w:pPr>
            <w:r>
              <w:rPr>
                <w:rFonts w:ascii="宋体" w:hAnsi="宋体" w:eastAsia="宋体" w:cs="Times New Roman"/>
                <w:b w:val="0"/>
                <w:sz w:val="18"/>
              </w:rPr>
              <w:t>现场答辩</w:t>
            </w:r>
          </w:p>
        </w:tc>
        <w:tc>
          <w:tcPr>
            <w:tcW w:w="5750" w:type="dxa"/>
            <w:tcMar>
              <w:top w:w="100" w:type="dxa"/>
              <w:left w:w="120" w:type="dxa"/>
              <w:bottom w:w="100" w:type="dxa"/>
              <w:right w:w="120" w:type="dxa"/>
            </w:tcMar>
            <w:vAlign w:val="center"/>
          </w:tcPr>
          <w:p w14:paraId="568074A4">
            <w:pPr>
              <w:spacing w:before="0" w:after="0" w:line="276" w:lineRule="auto"/>
              <w:ind w:firstLine="0"/>
              <w:jc w:val="left"/>
            </w:pPr>
            <w:r>
              <w:rPr>
                <w:rFonts w:ascii="宋体" w:hAnsi="宋体" w:eastAsia="宋体" w:cs="Times New Roman"/>
                <w:b w:val="0"/>
                <w:sz w:val="18"/>
              </w:rPr>
              <w:t>讲解逻辑清晰，能准确说明方法原理、创新点和适用边界；能现场演示变体生成与漏洞验证过程；对评委质询回答准确、有证据支持。</w:t>
            </w:r>
          </w:p>
        </w:tc>
        <w:tc>
          <w:tcPr>
            <w:tcW w:w="900" w:type="dxa"/>
            <w:tcMar>
              <w:top w:w="100" w:type="dxa"/>
              <w:left w:w="120" w:type="dxa"/>
              <w:bottom w:w="100" w:type="dxa"/>
              <w:right w:w="120" w:type="dxa"/>
            </w:tcMar>
            <w:vAlign w:val="center"/>
          </w:tcPr>
          <w:p w14:paraId="25841D9C">
            <w:pPr>
              <w:spacing w:before="0" w:after="0" w:line="276" w:lineRule="auto"/>
              <w:ind w:firstLine="0"/>
              <w:jc w:val="center"/>
            </w:pPr>
            <w:r>
              <w:rPr>
                <w:rFonts w:ascii="宋体" w:hAnsi="宋体" w:eastAsia="宋体" w:cs="Times New Roman"/>
                <w:b w:val="0"/>
                <w:sz w:val="18"/>
              </w:rPr>
              <w:t>10</w:t>
            </w:r>
          </w:p>
        </w:tc>
      </w:tr>
    </w:tbl>
    <w:p w14:paraId="57BB34BE">
      <w:pPr>
        <w:spacing w:after="0" w:line="240" w:lineRule="auto"/>
      </w:pPr>
    </w:p>
    <w:sectPr>
      <w:pgSz w:w="11909" w:h="16834"/>
      <w:pgMar w:top="1474" w:right="1531" w:bottom="1474" w:left="1531" w:header="0" w:footer="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8469AC"/>
    <w:multiLevelType w:val="singleLevel"/>
    <w:tmpl w:val="EB8469AC"/>
    <w:lvl w:ilvl="0" w:tentative="0">
      <w:start w:val="1"/>
      <w:numFmt w:val="decimal"/>
      <w:suff w:val="nothing"/>
      <w:lvlText w:val="%1）"/>
      <w:lvlJc w:val="left"/>
    </w:lvl>
  </w:abstractNum>
  <w:abstractNum w:abstractNumId="1">
    <w:nsid w:val="EFD3A56F"/>
    <w:multiLevelType w:val="singleLevel"/>
    <w:tmpl w:val="EFD3A56F"/>
    <w:lvl w:ilvl="0" w:tentative="0">
      <w:start w:val="1"/>
      <w:numFmt w:val="decimal"/>
      <w:lvlText w:val="%1）"/>
      <w:lvlJc w:val="left"/>
    </w:lvl>
  </w:abstractNum>
  <w:abstractNum w:abstractNumId="2">
    <w:nsid w:val="4D6D34A0"/>
    <w:multiLevelType w:val="singleLevel"/>
    <w:tmpl w:val="4D6D34A0"/>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0A4DB3"/>
    <w:rsid w:val="007027DC"/>
    <w:rsid w:val="014E16D1"/>
    <w:rsid w:val="01521C8D"/>
    <w:rsid w:val="01B244E9"/>
    <w:rsid w:val="01DF79C5"/>
    <w:rsid w:val="022A6766"/>
    <w:rsid w:val="02440398"/>
    <w:rsid w:val="02894CCF"/>
    <w:rsid w:val="02C92D8B"/>
    <w:rsid w:val="032C60F4"/>
    <w:rsid w:val="034F2728"/>
    <w:rsid w:val="03B7315F"/>
    <w:rsid w:val="03DF6953"/>
    <w:rsid w:val="052B57D0"/>
    <w:rsid w:val="05516D41"/>
    <w:rsid w:val="05704DD8"/>
    <w:rsid w:val="05BB4008"/>
    <w:rsid w:val="05D64447"/>
    <w:rsid w:val="05D649B8"/>
    <w:rsid w:val="05FE78DA"/>
    <w:rsid w:val="068976C8"/>
    <w:rsid w:val="06C32529"/>
    <w:rsid w:val="07044880"/>
    <w:rsid w:val="07E520A1"/>
    <w:rsid w:val="08CC0577"/>
    <w:rsid w:val="08D975D7"/>
    <w:rsid w:val="09120F02"/>
    <w:rsid w:val="09594795"/>
    <w:rsid w:val="09DB3ED5"/>
    <w:rsid w:val="0A053D41"/>
    <w:rsid w:val="0A122902"/>
    <w:rsid w:val="0B197BF0"/>
    <w:rsid w:val="0BAF3A0D"/>
    <w:rsid w:val="0C642101"/>
    <w:rsid w:val="0D004C93"/>
    <w:rsid w:val="0DF77E44"/>
    <w:rsid w:val="0F046C0A"/>
    <w:rsid w:val="0F1113DA"/>
    <w:rsid w:val="0F164CAB"/>
    <w:rsid w:val="0F8C5958"/>
    <w:rsid w:val="10237722"/>
    <w:rsid w:val="10640A37"/>
    <w:rsid w:val="10AB6462"/>
    <w:rsid w:val="118C5606"/>
    <w:rsid w:val="119D7C18"/>
    <w:rsid w:val="11EB1ED5"/>
    <w:rsid w:val="138427F2"/>
    <w:rsid w:val="138E329C"/>
    <w:rsid w:val="13AD215C"/>
    <w:rsid w:val="13B3226E"/>
    <w:rsid w:val="13D84274"/>
    <w:rsid w:val="17522997"/>
    <w:rsid w:val="17C31A82"/>
    <w:rsid w:val="18E11E1D"/>
    <w:rsid w:val="19AE065B"/>
    <w:rsid w:val="19B76DBC"/>
    <w:rsid w:val="19D44D33"/>
    <w:rsid w:val="1A07140F"/>
    <w:rsid w:val="1A514D80"/>
    <w:rsid w:val="1A7647E7"/>
    <w:rsid w:val="1A7A5D36"/>
    <w:rsid w:val="1BCD3F87"/>
    <w:rsid w:val="1BCF0ED5"/>
    <w:rsid w:val="1C19233B"/>
    <w:rsid w:val="1C487D15"/>
    <w:rsid w:val="1C593252"/>
    <w:rsid w:val="1C69015F"/>
    <w:rsid w:val="1C9A2351"/>
    <w:rsid w:val="1D3119C4"/>
    <w:rsid w:val="1EEF7227"/>
    <w:rsid w:val="203D3E4E"/>
    <w:rsid w:val="221F451E"/>
    <w:rsid w:val="22215581"/>
    <w:rsid w:val="22D60519"/>
    <w:rsid w:val="23264FFC"/>
    <w:rsid w:val="23BC06DE"/>
    <w:rsid w:val="23F848FF"/>
    <w:rsid w:val="243377C0"/>
    <w:rsid w:val="24631318"/>
    <w:rsid w:val="24632EA6"/>
    <w:rsid w:val="246964EE"/>
    <w:rsid w:val="24B45FE5"/>
    <w:rsid w:val="24DB1E16"/>
    <w:rsid w:val="24F61211"/>
    <w:rsid w:val="24F904EE"/>
    <w:rsid w:val="250619BA"/>
    <w:rsid w:val="25DB7A72"/>
    <w:rsid w:val="2603294C"/>
    <w:rsid w:val="27954531"/>
    <w:rsid w:val="27C26BE0"/>
    <w:rsid w:val="27E965F8"/>
    <w:rsid w:val="280B0CAC"/>
    <w:rsid w:val="297B5976"/>
    <w:rsid w:val="2A974597"/>
    <w:rsid w:val="2B516B86"/>
    <w:rsid w:val="2B954300"/>
    <w:rsid w:val="2BDA4BD6"/>
    <w:rsid w:val="2C5113AD"/>
    <w:rsid w:val="2C9254B0"/>
    <w:rsid w:val="2D68349B"/>
    <w:rsid w:val="2FE10940"/>
    <w:rsid w:val="2FE720A0"/>
    <w:rsid w:val="30E53F9E"/>
    <w:rsid w:val="32236497"/>
    <w:rsid w:val="327C7A4A"/>
    <w:rsid w:val="32BA3DA3"/>
    <w:rsid w:val="32D96EF3"/>
    <w:rsid w:val="32F66D65"/>
    <w:rsid w:val="335F6F58"/>
    <w:rsid w:val="33E32A95"/>
    <w:rsid w:val="341B5D8B"/>
    <w:rsid w:val="348117CF"/>
    <w:rsid w:val="34B45B4D"/>
    <w:rsid w:val="34C957E7"/>
    <w:rsid w:val="35C506A4"/>
    <w:rsid w:val="35FE728D"/>
    <w:rsid w:val="360A31E9"/>
    <w:rsid w:val="37027FDE"/>
    <w:rsid w:val="3733747A"/>
    <w:rsid w:val="379A434D"/>
    <w:rsid w:val="37BD46BF"/>
    <w:rsid w:val="37F5732C"/>
    <w:rsid w:val="385831B7"/>
    <w:rsid w:val="38604375"/>
    <w:rsid w:val="386145AB"/>
    <w:rsid w:val="3B6A6F76"/>
    <w:rsid w:val="3BC14CA0"/>
    <w:rsid w:val="3BF6626E"/>
    <w:rsid w:val="3C0B3222"/>
    <w:rsid w:val="3C2B4495"/>
    <w:rsid w:val="3C964B49"/>
    <w:rsid w:val="3E3D76EF"/>
    <w:rsid w:val="3F4168C2"/>
    <w:rsid w:val="3FAA5EE2"/>
    <w:rsid w:val="3FAE3314"/>
    <w:rsid w:val="404F1622"/>
    <w:rsid w:val="407C4056"/>
    <w:rsid w:val="41322966"/>
    <w:rsid w:val="42035724"/>
    <w:rsid w:val="42FE07A3"/>
    <w:rsid w:val="434626F9"/>
    <w:rsid w:val="43DB7C5E"/>
    <w:rsid w:val="448C3E78"/>
    <w:rsid w:val="44F560AA"/>
    <w:rsid w:val="45526F36"/>
    <w:rsid w:val="45ED3D47"/>
    <w:rsid w:val="46E60C47"/>
    <w:rsid w:val="46F33A28"/>
    <w:rsid w:val="473737B5"/>
    <w:rsid w:val="481F306B"/>
    <w:rsid w:val="48BC66D6"/>
    <w:rsid w:val="48EB53EF"/>
    <w:rsid w:val="49A16269"/>
    <w:rsid w:val="49A30BB6"/>
    <w:rsid w:val="49C910D4"/>
    <w:rsid w:val="4A222B52"/>
    <w:rsid w:val="4AC2168F"/>
    <w:rsid w:val="4AE95477"/>
    <w:rsid w:val="4B6547DC"/>
    <w:rsid w:val="4B7859A5"/>
    <w:rsid w:val="4E4F2D1C"/>
    <w:rsid w:val="4EC866B8"/>
    <w:rsid w:val="4F416B96"/>
    <w:rsid w:val="4F887FAA"/>
    <w:rsid w:val="4FA20F44"/>
    <w:rsid w:val="4FEA004A"/>
    <w:rsid w:val="50010EFC"/>
    <w:rsid w:val="501F77FB"/>
    <w:rsid w:val="51663D25"/>
    <w:rsid w:val="51B5026C"/>
    <w:rsid w:val="523522B6"/>
    <w:rsid w:val="52635075"/>
    <w:rsid w:val="52807903"/>
    <w:rsid w:val="52E85A38"/>
    <w:rsid w:val="52F45CCD"/>
    <w:rsid w:val="550874FC"/>
    <w:rsid w:val="55CE3E8F"/>
    <w:rsid w:val="55F77D8C"/>
    <w:rsid w:val="566A0E57"/>
    <w:rsid w:val="56F158EC"/>
    <w:rsid w:val="57E552FD"/>
    <w:rsid w:val="580742C8"/>
    <w:rsid w:val="5844246E"/>
    <w:rsid w:val="5ACA4FE1"/>
    <w:rsid w:val="5B166903"/>
    <w:rsid w:val="5B3255E5"/>
    <w:rsid w:val="5B3D1C61"/>
    <w:rsid w:val="5B6A0175"/>
    <w:rsid w:val="5B8C31E0"/>
    <w:rsid w:val="5B9B4A8F"/>
    <w:rsid w:val="5C33758A"/>
    <w:rsid w:val="5C6F4367"/>
    <w:rsid w:val="5D697CB0"/>
    <w:rsid w:val="5D7B291A"/>
    <w:rsid w:val="5D84157F"/>
    <w:rsid w:val="5DB801B6"/>
    <w:rsid w:val="5F035084"/>
    <w:rsid w:val="5F8D54E0"/>
    <w:rsid w:val="5FE70674"/>
    <w:rsid w:val="611008D8"/>
    <w:rsid w:val="616C7742"/>
    <w:rsid w:val="61BD7103"/>
    <w:rsid w:val="6256605D"/>
    <w:rsid w:val="633345F0"/>
    <w:rsid w:val="635A71A8"/>
    <w:rsid w:val="63A61A51"/>
    <w:rsid w:val="64737EDB"/>
    <w:rsid w:val="64957185"/>
    <w:rsid w:val="64B11C70"/>
    <w:rsid w:val="64C719C8"/>
    <w:rsid w:val="65472222"/>
    <w:rsid w:val="65643915"/>
    <w:rsid w:val="6578278E"/>
    <w:rsid w:val="66902124"/>
    <w:rsid w:val="6761799D"/>
    <w:rsid w:val="679338AF"/>
    <w:rsid w:val="67A85CA0"/>
    <w:rsid w:val="689A74D2"/>
    <w:rsid w:val="689E2423"/>
    <w:rsid w:val="68AB20A1"/>
    <w:rsid w:val="69B83AA1"/>
    <w:rsid w:val="6A113F48"/>
    <w:rsid w:val="6ACE58A6"/>
    <w:rsid w:val="6BDA43CC"/>
    <w:rsid w:val="6BE6484E"/>
    <w:rsid w:val="6BF61418"/>
    <w:rsid w:val="6CF65366"/>
    <w:rsid w:val="6D6341DE"/>
    <w:rsid w:val="6D8D4577"/>
    <w:rsid w:val="6D910891"/>
    <w:rsid w:val="6DB830A3"/>
    <w:rsid w:val="6DB95CF3"/>
    <w:rsid w:val="6DC57DC9"/>
    <w:rsid w:val="6E217817"/>
    <w:rsid w:val="6ECB4234"/>
    <w:rsid w:val="6ED0686F"/>
    <w:rsid w:val="6F541B76"/>
    <w:rsid w:val="6FD66A2F"/>
    <w:rsid w:val="7002386C"/>
    <w:rsid w:val="70067328"/>
    <w:rsid w:val="70C47314"/>
    <w:rsid w:val="71546E85"/>
    <w:rsid w:val="719C6A9E"/>
    <w:rsid w:val="72816160"/>
    <w:rsid w:val="732164EE"/>
    <w:rsid w:val="73614961"/>
    <w:rsid w:val="755328D0"/>
    <w:rsid w:val="7566471F"/>
    <w:rsid w:val="7577161D"/>
    <w:rsid w:val="75987BE5"/>
    <w:rsid w:val="762229CE"/>
    <w:rsid w:val="762C5820"/>
    <w:rsid w:val="76B37ACA"/>
    <w:rsid w:val="77314A0A"/>
    <w:rsid w:val="77D919B9"/>
    <w:rsid w:val="77E72B75"/>
    <w:rsid w:val="78142BC8"/>
    <w:rsid w:val="78981757"/>
    <w:rsid w:val="79234AE0"/>
    <w:rsid w:val="79C54DA5"/>
    <w:rsid w:val="7A9460F5"/>
    <w:rsid w:val="7B962D0F"/>
    <w:rsid w:val="7B98103C"/>
    <w:rsid w:val="7C12098E"/>
    <w:rsid w:val="7D050953"/>
    <w:rsid w:val="7D0B4A16"/>
    <w:rsid w:val="7DCF6F9E"/>
    <w:rsid w:val="7ED07840"/>
    <w:rsid w:val="7F03074F"/>
    <w:rsid w:val="7F4977DA"/>
    <w:rsid w:val="7F9F32E6"/>
    <w:rsid w:val="7FCC39AA"/>
    <w:rsid w:val="7FD665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0"/>
    <w:rPr>
      <w:rFonts w:ascii="宋体" w:hAnsi="宋体" w:eastAsia="宋体" w:cs="宋体"/>
      <w:sz w:val="20"/>
      <w:szCs w:val="20"/>
      <w:lang w:val="en-US" w:eastAsia="en-US" w:bidi="ar-SA"/>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宋体" w:hAnsi="宋体" w:eastAsia="宋体" w:cs="宋体"/>
      <w:sz w:val="18"/>
      <w:szCs w:val="18"/>
      <w:lang w:val="en-US" w:eastAsia="en-US" w:bidi="ar-SA"/>
    </w:rPr>
  </w:style>
  <w:style w:type="paragraph" w:styleId="13">
    <w:name w:val="List Paragraph"/>
    <w:basedOn w:val="1"/>
    <w:qFormat/>
    <w:uiPriority w:val="34"/>
    <w:pPr>
      <w:widowControl/>
      <w:ind w:firstLine="420"/>
    </w:pPr>
    <w:rPr>
      <w:rFonts w:ascii="仿宋" w:hAnsi="仿宋" w:eastAsia="仿宋"/>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4610</Words>
  <Characters>4712</Characters>
  <TotalTime>36</TotalTime>
  <ScaleCrop>false</ScaleCrop>
  <LinksUpToDate>false</LinksUpToDate>
  <CharactersWithSpaces>4734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2024-09-27T16:50:00Z</dcterms:created>
  <dc:creator/>
  <cp:lastModifiedBy/>
  <dcterms:modified xsi:type="dcterms:W3CDTF">2026-09-01T00:42:33Z</dcterms:modified>
  <dc:subject/>
  <dc:title>面向软件多样性的异构变体构造与安全增益验证</dc:title>
  <cp:keywords/>
  <dc:description/>
  <cp:category/>
  <cp:contentStatus/>
  <dc:identifier/>
  <dc:language>zh-CN</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2025-06-13T15:31:56Z</vt:filetime>
  </property>
  <property fmtid="{D5CDD505-2E9C-101B-9397-08002B2CF9AE}" pid="4" name="KSOTemplateDocerSaveRecord">
    <vt:lpwstr>eyJoZGlkIjoiNTBkYTQ5MjI4OWU1MzhmMTc5N2Q0YTIzMTA2NmRhN2IiLCJ1c2VySWQiOiIxMjg3NzUzOTY4In0=</vt:lpwstr>
  </property>
  <property fmtid="{D5CDD505-2E9C-101B-9397-08002B2CF9AE}" pid="5" name="KSOProductBuildVer">
    <vt:lpwstr>2052-12.1.0.28043</vt:lpwstr>
  </property>
  <property fmtid="{D5CDD505-2E9C-101B-9397-08002B2CF9AE}" pid="6" name="ICV">
    <vt:lpwstr>E1F6055377DC480C9F8EB970DB3BC4B1_13</vt:lpwstr>
  </property>
</Properties>
</file>