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AI+真人融合24小时智能客服中心精简落地方案（提体验、促转化）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本方案基于全域AI运营平台现有架构，搭建</w:t>
      </w:r>
      <w:r>
        <w:rPr>
          <w:rFonts w:eastAsia="等线" w:ascii="Arial" w:cs="Arial" w:hAnsi="Arial"/>
          <w:b w:val="true"/>
          <w:sz w:val="22"/>
        </w:rPr>
        <w:t>AI智能Agent为主、真人客服兜底</w:t>
      </w:r>
      <w:r>
        <w:rPr>
          <w:rFonts w:eastAsia="等线" w:ascii="Arial" w:cs="Arial" w:hAnsi="Arial"/>
          <w:sz w:val="22"/>
        </w:rPr>
        <w:t>的混合客服体系，实现24小时秒级响应、精准专业答疑、高情商合规沟通。核心解决用户咨询响应慢、问题解决不精准、服务断层、转化链路缺失等问题，兼顾用户体验、服务效率与商业转化率，适配超级个体、一人公司、中小企业全用户群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一、整体架构设计（轻量化、高联动、可落地）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采用三层一体化架构，全程打通平台用户、订单、日志、工单数据，无需重复询问用户信息，实现无感服务。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全渠道接入层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统一客服入口，覆盖平台Web端、客户端、插件后台、报错页面、帮助中心，支持在线咨询、工单留言、问题反馈，实现用户随处可咨询、无接触触达。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AI智能Agent核心层（主力服务）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托平台现有AI核心模块+向量知识库搭建，实现1秒内响应，全自动处理70%以上常规咨询。核心能力包含语义意图识别、多轮对话记忆、场景化应答、自助服务指令、情绪识别、合规风控、自动转接，同时联动用户画像，实现千人千面精准服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真人客服兜底层（疑难兜底）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搭建轻量化坐席工作台，承接机器人无法解答、用户主动转人工、投诉纠纷、技术故障、企业定制等复杂问题，配套工单流转、会话质检、数据统计功能，保障服务无死角。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二、核心功能精细化配置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AI智能Agent核心配置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（1）标准化专属知识库</w:t>
      </w:r>
      <w:r>
        <w:rPr>
          <w:rFonts w:eastAsia="等线" w:ascii="Arial" w:cs="Arial" w:hAnsi="Arial"/>
          <w:sz w:val="22"/>
        </w:rPr>
        <w:t>：全覆盖平台核心场景，包含注册使用、会员计费、故障排查、变现规则、合规规范、功能教程、增值服务七大模块，高频问题缓存处理，保障应答精准度与速度，且支持实时迭代更新。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（2）人设与沟通规则</w:t>
      </w:r>
      <w:r>
        <w:rPr>
          <w:rFonts w:eastAsia="等线" w:ascii="Arial" w:cs="Arial" w:hAnsi="Arial"/>
          <w:sz w:val="22"/>
        </w:rPr>
        <w:t>：统一人设为</w:t>
      </w:r>
      <w:r>
        <w:rPr>
          <w:rFonts w:eastAsia="等线" w:ascii="Arial" w:cs="Arial" w:hAnsi="Arial"/>
          <w:b w:val="true"/>
          <w:sz w:val="22"/>
        </w:rPr>
        <w:t>专业高效、亲和耐心、有原则、高情商</w:t>
      </w:r>
      <w:r>
        <w:rPr>
          <w:rFonts w:eastAsia="等线" w:ascii="Arial" w:cs="Arial" w:hAnsi="Arial"/>
          <w:sz w:val="22"/>
        </w:rPr>
        <w:t>。新手用户分步引导、普通咨询简洁专业、负面情绪优先共情安抚；严守服务红线，不违规应答、不超额承诺、不泄露用户数据，标准化委婉拒绝话术，兼顾合规与体验。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（3）智能分流转接机制</w:t>
      </w:r>
      <w:r>
        <w:rPr>
          <w:rFonts w:eastAsia="等线" w:ascii="Arial" w:cs="Arial" w:hAnsi="Arial"/>
          <w:sz w:val="22"/>
        </w:rPr>
        <w:t>：预设自动转接场景，机器人解答失效、用户要求人工、投诉故障、定制咨询等场景，自动无感转接，同步迁移完整聊天记录、用户信息、问题摘要，无需用户重复表述。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（4）自助转化能力</w:t>
      </w:r>
      <w:r>
        <w:rPr>
          <w:rFonts w:eastAsia="等线" w:ascii="Arial" w:cs="Arial" w:hAnsi="Arial"/>
          <w:sz w:val="22"/>
        </w:rPr>
        <w:t>：支持一键跳转功能页面、查询账单额度、提交故障工单，问题解答完毕后，自然引导会员升级、企业定制等增值服务，打通咨询转成交链路。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真人客服核心配置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（1）坐席工作台</w:t>
      </w:r>
      <w:r>
        <w:rPr>
          <w:rFonts w:eastAsia="等线" w:ascii="Arial" w:cs="Arial" w:hAnsi="Arial"/>
          <w:sz w:val="22"/>
        </w:rPr>
        <w:t>：聚合全渠道会话，展示用户全景信息（等级、付费记录、历史咨询、账号状态），配套标准化快捷话术、工单创建、会话转接、内部协同功能，大幅提升处理效率。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（2）24小时值守机制</w:t>
      </w:r>
      <w:r>
        <w:rPr>
          <w:rFonts w:eastAsia="等线" w:ascii="Arial" w:cs="Arial" w:hAnsi="Arial"/>
          <w:sz w:val="22"/>
        </w:rPr>
        <w:t>：白班真人在岗承接咨询与转接会话；夜班纯AI Agent值守，复杂问题自动生成工单，次日优先回访处理，实现全天候服务不中断。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（3）服务质检考核</w:t>
      </w:r>
      <w:r>
        <w:rPr>
          <w:rFonts w:eastAsia="等线" w:ascii="Arial" w:cs="Arial" w:hAnsi="Arial"/>
          <w:sz w:val="22"/>
        </w:rPr>
        <w:t>：全程存档会话记录，考核核心指标：10秒内人工响应、高问题解决率、低差评率、有效转化引导率，统一服务标准。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三、标准化服务流程（用户极致体验闭环）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用户发起咨询，AI Agent秒级响应，快速识别问题意图并精准解答，配套实操指引；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简单问题AI直接闭环，同步主动答疑、引导增值服务转化；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复杂问题自动平滑转接人工，完整同步用户数据与会话信息；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真人坐席快速核查处理，疑难问题创建工单、全程跟进；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问题解决后推送满意度评价，工单类问题闭环回访，形成完整服务链路。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四、核心话术体系（统一风格、高情商、强转化）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开场话术</w:t>
      </w:r>
      <w:r>
        <w:rPr>
          <w:rFonts w:eastAsia="等线" w:ascii="Arial" w:cs="Arial" w:hAnsi="Arial"/>
          <w:sz w:val="22"/>
        </w:rPr>
        <w:t>：AI亲和问候，人工简洁接应，快速进入服务状态；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常规咨询</w:t>
      </w:r>
      <w:r>
        <w:rPr>
          <w:rFonts w:eastAsia="等线" w:ascii="Arial" w:cs="Arial" w:hAnsi="Arial"/>
          <w:sz w:val="22"/>
        </w:rPr>
        <w:t>：专业简洁，直击问题，搭配实操步骤，易懂易落地；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新手引导</w:t>
      </w:r>
      <w:r>
        <w:rPr>
          <w:rFonts w:eastAsia="等线" w:ascii="Arial" w:cs="Arial" w:hAnsi="Arial"/>
          <w:sz w:val="22"/>
        </w:rPr>
        <w:t>：耐心分步指导，适配新手操作短板；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情绪投诉</w:t>
      </w:r>
      <w:r>
        <w:rPr>
          <w:rFonts w:eastAsia="等线" w:ascii="Arial" w:cs="Arial" w:hAnsi="Arial"/>
          <w:sz w:val="22"/>
        </w:rPr>
        <w:t>：先共情安抚、致歉，再核查解决、同步进度；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规则拒绝</w:t>
      </w:r>
      <w:r>
        <w:rPr>
          <w:rFonts w:eastAsia="等线" w:ascii="Arial" w:cs="Arial" w:hAnsi="Arial"/>
          <w:sz w:val="22"/>
        </w:rPr>
        <w:t>：委婉坚定，说明平台规范，不激化用户矛盾；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6. </w:t>
      </w:r>
      <w:r>
        <w:rPr>
          <w:rFonts w:eastAsia="等线" w:ascii="Arial" w:cs="Arial" w:hAnsi="Arial"/>
          <w:b w:val="true"/>
          <w:sz w:val="22"/>
        </w:rPr>
        <w:t>转化引导</w:t>
      </w:r>
      <w:r>
        <w:rPr>
          <w:rFonts w:eastAsia="等线" w:ascii="Arial" w:cs="Arial" w:hAnsi="Arial"/>
          <w:sz w:val="22"/>
        </w:rPr>
        <w:t>：问题解决后自然植入高阶权益、增值服务，弱化营销感、提升转化率。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五、轻量化技术落地方案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复用平台现有TypeScript、Docker部署架构，低成本快速落地：基于现有AI Core扩展客服Agent，搭配向量数据库存储知识库，通过WebSocket实现秒级实时会话；打通用户中心、订单、工单、日志系统，实现数据互通。落地分四步：初始化知识库、配置AI规则、对接人工坐席系统、灰度上线持续迭代。同时做缓存与负载均衡优化，保障高并发场景下响应稳定、无卡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六、数据迭代与风险管控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核心运营指标</w:t>
      </w:r>
      <w:r>
        <w:rPr>
          <w:rFonts w:eastAsia="等线" w:ascii="Arial" w:cs="Arial" w:hAnsi="Arial"/>
          <w:sz w:val="22"/>
        </w:rPr>
        <w:t>：AI响应≤1秒、人工响应≤10秒、AI问题解决率≥70%、用户差评率≤2%，持续监控服务与转化数据。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迭代机制</w:t>
      </w:r>
      <w:r>
        <w:rPr>
          <w:rFonts w:eastAsia="等线" w:ascii="Arial" w:cs="Arial" w:hAnsi="Arial"/>
          <w:sz w:val="22"/>
        </w:rPr>
        <w:t>：每日更新AI知识库、每周优化话术规则、每月同步平台功能迭代服务体系，持续提升服务精准度。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风险规避</w:t>
      </w:r>
      <w:r>
        <w:rPr>
          <w:rFonts w:eastAsia="等线" w:ascii="Arial" w:cs="Arial" w:hAnsi="Arial"/>
          <w:sz w:val="22"/>
        </w:rPr>
        <w:t>：全程会话加密合规存储，自动拦截敏感违规咨询，严禁超额功能承诺，统一服务口径，规避合规与口碑风险。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七、方案总结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依托现有平台底座，以低改造成本搭建AI+真人混合客服体系，彻底解决传统客服响应慢、解答差、服务断档、无转化的痛点。既实现24小时全天候极速、专业、高情商服务，大幅降低人工运营成本；又依托咨询场景自然赋能商业转化，完美适配超级个体、中小企业的AI转型服务需求，同步提升平台口碑、用户留存与商业收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2026-06-01T10:28:47Z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{"Label":"1","ContentProducer":"001191110102MACQD9K64010000","ProduceID":"7646372039751404514","ReservedCode1":"","ContentPropagator":"","PropagateID":"","ReservedCode2":""}</vt:lpwstr>
  </property>
</Properties>
</file>