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AI智能选股-技能板块模块PRD文档（含原型框图+交互逻辑）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模块定位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本模块为</w:t>
      </w:r>
      <w:r>
        <w:rPr>
          <w:rFonts w:eastAsia="等线" w:ascii="Arial" w:cs="Arial" w:hAnsi="Arial"/>
          <w:b w:val="true"/>
          <w:sz w:val="22"/>
        </w:rPr>
        <w:t>AI智能选股系统底层核心底座</w:t>
      </w:r>
      <w:r>
        <w:rPr>
          <w:rFonts w:eastAsia="等线" w:ascii="Arial" w:cs="Arial" w:hAnsi="Arial"/>
          <w:sz w:val="22"/>
        </w:rPr>
        <w:t>，独立为【技能中心】一级功能模块，直连OpenClaw核心引擎，统一承载技能市场安装、用户自定义技能、全局跨板块调用三大核心能力。系统所有业务板块（选股、行情、回测、预警、风控、诊股等）均可无感调用本模块所有已生效技能，实现“一次安装、全平台复用”的AI技能生态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打通OpenClaw引擎，实现技能同步、安装、调度、执行全链路自动化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搭建公共技能市场，支持用户自由选配AI选股技能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提供用户专属技能定制入口，支持私有化自定义技能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实现技能全局通用，全业务板块无门槛调用技能能力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整体原型架构框图（文字原型，可直接用于作图）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用户层（前端入口）</w:t>
      </w:r>
      <w:r>
        <w:rPr>
          <w:rFonts w:eastAsia="等线" w:ascii="Arial" w:cs="Arial" w:hAnsi="Arial"/>
          <w:sz w:val="22"/>
        </w:rPr>
        <w:t>：技能中心（技能市场 / 我的技能 / 定制技能 / 调用管理）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功能中台层（核心业务）</w:t>
      </w:r>
      <w:r>
        <w:rPr>
          <w:rFonts w:eastAsia="等线" w:ascii="Arial" w:cs="Arial" w:hAnsi="Arial"/>
          <w:sz w:val="22"/>
        </w:rPr>
        <w:t>：技能安装管理 + 自定义技能系统 + 全局技能调用中台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引擎对接层</w:t>
      </w:r>
      <w:r>
        <w:rPr>
          <w:rFonts w:eastAsia="等线" w:ascii="Arial" w:cs="Arial" w:hAnsi="Arial"/>
          <w:sz w:val="22"/>
        </w:rPr>
        <w:t>：OpenClaw 接口对接、技能注册、鉴权、任务调度、版本同步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业务应用层</w:t>
      </w:r>
      <w:r>
        <w:rPr>
          <w:rFonts w:eastAsia="等线" w:ascii="Arial" w:cs="Arial" w:hAnsi="Arial"/>
          <w:sz w:val="22"/>
        </w:rPr>
        <w:t>：选股板块、行情板块、回测板块、预警板块、风控板块、AI诊股板块（全板块可调用）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数据底层层</w:t>
      </w:r>
      <w:r>
        <w:rPr>
          <w:rFonts w:eastAsia="等线" w:ascii="Arial" w:cs="Arial" w:hAnsi="Arial"/>
          <w:sz w:val="22"/>
        </w:rPr>
        <w:t>：技能配置数据、用户安装记录、定制任务数据、调用日志数据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模块整体功能结构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一级菜单：</w:t>
      </w:r>
      <w:r>
        <w:rPr>
          <w:rFonts w:eastAsia="等线" w:ascii="Arial" w:cs="Arial" w:hAnsi="Arial"/>
          <w:b w:val="true"/>
          <w:sz w:val="22"/>
        </w:rPr>
        <w:t>技能中心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二级子页面：1.技能市场  2.我的技能  3.定制技能  4.技能调用权限管理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系统内置常驻：5个核心默认技能（无需安装、全局默认启用）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详细功能PRD（含页面字段、按钮、交互逻辑）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核心能力一：技能市场（自由安装技能）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3.1.1 功能描述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直连OpenClaw官方技能仓库，实时同步所有公开AI选股技能，用户可自由浏览、安装、卸载、升级、启停，所有安装后的技能自动纳入全局技能池，供全板块调用。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3.1.2 页面字段结构</w:t>
      </w:r>
      <w:bookmarkEnd w:id="8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顶部筛选区</w:t>
      </w:r>
      <w:r>
        <w:rPr>
          <w:rFonts w:eastAsia="等线" w:ascii="Arial" w:cs="Arial" w:hAnsi="Arial"/>
          <w:sz w:val="22"/>
        </w:rPr>
        <w:t>：技能分类、热门排序、最新上架、评分优选、搜索框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技能列表卡片字段</w:t>
      </w:r>
      <w:r>
        <w:rPr>
          <w:rFonts w:eastAsia="等线" w:ascii="Arial" w:cs="Arial" w:hAnsi="Arial"/>
          <w:sz w:val="22"/>
        </w:rPr>
        <w:t>：技能图标、技能名称、技能标签（基本面/技术面/资金面/异动/风控）、简介、安装量、用户评分、适配状态、版本号、状态（未安装/已安装/可升级）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技能详情页字段</w:t>
      </w:r>
      <w:r>
        <w:rPr>
          <w:rFonts w:eastAsia="等线" w:ascii="Arial" w:cs="Arial" w:hAnsi="Arial"/>
          <w:sz w:val="22"/>
        </w:rPr>
        <w:t>：技能介绍、适用行情场景、核心能力、可配置参数、使用教程、更新日志、用户评价、安装记录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3.1.3 页面按钮及交互逻辑</w:t>
      </w:r>
      <w:bookmarkEnd w:id="9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一键安装</w:t>
      </w:r>
      <w:r>
        <w:rPr>
          <w:rFonts w:eastAsia="等线" w:ascii="Arial" w:cs="Arial" w:hAnsi="Arial"/>
          <w:sz w:val="22"/>
        </w:rPr>
        <w:t>：点击后调用OpenClaw安装接口，弹窗加载“技能部署中”，安装成功自动加入【我的技能】，默认启用、全局可调用；安装失败提示失败原因（权限/版本/网络）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立即启用/停用</w:t>
      </w:r>
      <w:r>
        <w:rPr>
          <w:rFonts w:eastAsia="等线" w:ascii="Arial" w:cs="Arial" w:hAnsi="Arial"/>
          <w:sz w:val="22"/>
        </w:rPr>
        <w:t>：已安装技能可手动启停，停用后全板块无法调用该技能，数据保留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版本升级</w:t>
      </w:r>
      <w:r>
        <w:rPr>
          <w:rFonts w:eastAsia="等线" w:ascii="Arial" w:cs="Arial" w:hAnsi="Arial"/>
          <w:sz w:val="22"/>
        </w:rPr>
        <w:t>：检测到OpenClaw新版本时亮起红点，点击自动增量升级，升级期间锁定技能不可使用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卸载技能</w:t>
      </w:r>
      <w:r>
        <w:rPr>
          <w:rFonts w:eastAsia="等线" w:ascii="Arial" w:cs="Arial" w:hAnsi="Arial"/>
          <w:sz w:val="22"/>
        </w:rPr>
        <w:t>：二次弹窗确认，卸载后从个人技能库移除，全局调用失效，清除本地配置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查看教程</w:t>
      </w:r>
      <w:r>
        <w:rPr>
          <w:rFonts w:eastAsia="等线" w:ascii="Arial" w:cs="Arial" w:hAnsi="Arial"/>
          <w:sz w:val="22"/>
        </w:rPr>
        <w:t>：弹窗展示技能使用规则、参数说明、适用场景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3.1.4 特殊规则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市场安装技能为</w:t>
      </w:r>
      <w:r>
        <w:rPr>
          <w:rFonts w:eastAsia="等线" w:ascii="Arial" w:cs="Arial" w:hAnsi="Arial"/>
          <w:b w:val="true"/>
          <w:sz w:val="22"/>
        </w:rPr>
        <w:t>公共技能</w:t>
      </w:r>
      <w:r>
        <w:rPr>
          <w:rFonts w:eastAsia="等线" w:ascii="Arial" w:cs="Arial" w:hAnsi="Arial"/>
          <w:sz w:val="22"/>
        </w:rPr>
        <w:t>，所有用户安装后均可全局调用，不影响系统内置核心技能。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核心能力二：用户定制技能（专属技能入口）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3.2.1 功能描述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独立定制入口，支持用户自主提交选股技能需求，对接OpenClaw引擎生成</w:t>
      </w:r>
      <w:r>
        <w:rPr>
          <w:rFonts w:eastAsia="等线" w:ascii="Arial" w:cs="Arial" w:hAnsi="Arial"/>
          <w:b w:val="true"/>
          <w:sz w:val="22"/>
        </w:rPr>
        <w:t>私有专属技能</w:t>
      </w:r>
      <w:r>
        <w:rPr>
          <w:rFonts w:eastAsia="等线" w:ascii="Arial" w:cs="Arial" w:hAnsi="Arial"/>
          <w:sz w:val="22"/>
        </w:rPr>
        <w:t>，仅本人账号可见、可用；同时系统内置5个常驻核心技能，默认预装、永久生效。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3.2.2 系统内置5个核心默认技能（固定标配）</w:t>
      </w:r>
      <w:bookmarkEnd w:id="1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AI多因子智能选股技能</w:t>
      </w:r>
      <w:r>
        <w:rPr>
          <w:rFonts w:eastAsia="等线" w:ascii="Arial" w:cs="Arial" w:hAnsi="Arial"/>
          <w:sz w:val="22"/>
        </w:rPr>
        <w:t>：整合基本面、技术面、资金面、情绪面多维度打分，自动筛选优质标的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盘中异动捕捉技能</w:t>
      </w:r>
      <w:r>
        <w:rPr>
          <w:rFonts w:eastAsia="等线" w:ascii="Arial" w:cs="Arial" w:hAnsi="Arial"/>
          <w:sz w:val="22"/>
        </w:rPr>
        <w:t>：实时监控放量突破、拉升、跳水、首板、资金净流入异动信号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财报AI解析避雷技能</w:t>
      </w:r>
      <w:r>
        <w:rPr>
          <w:rFonts w:eastAsia="等线" w:ascii="Arial" w:cs="Arial" w:hAnsi="Arial"/>
          <w:sz w:val="22"/>
        </w:rPr>
        <w:t>：自动解读年报/季报，识别财务风险、爆雷风险，筛选高成长标的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量化策略回测技能</w:t>
      </w:r>
      <w:r>
        <w:rPr>
          <w:rFonts w:eastAsia="等线" w:ascii="Arial" w:cs="Arial" w:hAnsi="Arial"/>
          <w:sz w:val="22"/>
        </w:rPr>
        <w:t>：支持自定义选股条件，回溯历史数据，输出胜率、盈亏比、最大回撤数据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智能仓位风控技能</w:t>
      </w:r>
      <w:r>
        <w:rPr>
          <w:rFonts w:eastAsia="等线" w:ascii="Arial" w:cs="Arial" w:hAnsi="Arial"/>
          <w:sz w:val="22"/>
        </w:rPr>
        <w:t>：动态仓位配比、自动止盈止损、风险等级判定、仓位过载预警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3.2.3 定制技能页面字段</w:t>
      </w:r>
      <w:bookmarkEnd w:id="1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技能自定义名称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技能应用场景（短线/中线/长线/风控/异动监控）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选股逻辑描述（文本输入）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自定义指标条件（参数配置框）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触发规则、筛选阈值、输出结果形式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任务状态（待提交/开发中/已完成/已失效）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3.2.4 按钮与交互逻辑</w:t>
      </w:r>
      <w:bookmarkEnd w:id="1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提交定制需求</w:t>
      </w:r>
      <w:r>
        <w:rPr>
          <w:rFonts w:eastAsia="等线" w:ascii="Arial" w:cs="Arial" w:hAnsi="Arial"/>
          <w:sz w:val="22"/>
        </w:rPr>
        <w:t>：校验必填内容，提交至OpenClaw定制任务队列，生成任务单号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查看进度</w:t>
      </w:r>
      <w:r>
        <w:rPr>
          <w:rFonts w:eastAsia="等线" w:ascii="Arial" w:cs="Arial" w:hAnsi="Arial"/>
          <w:sz w:val="22"/>
        </w:rPr>
        <w:t>：实时同步引擎开发进度，展示0%-100%进度条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一键安装私有技能</w:t>
      </w:r>
      <w:r>
        <w:rPr>
          <w:rFonts w:eastAsia="等线" w:ascii="Arial" w:cs="Arial" w:hAnsi="Arial"/>
          <w:sz w:val="22"/>
        </w:rPr>
        <w:t>：任务完成后按钮点亮，点击安装至个人技能库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编辑定制需求</w:t>
      </w:r>
      <w:r>
        <w:rPr>
          <w:rFonts w:eastAsia="等线" w:ascii="Arial" w:cs="Arial" w:hAnsi="Arial"/>
          <w:sz w:val="22"/>
        </w:rPr>
        <w:t>：未开始开发的任务支持修改，开发中不可编辑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删除定制任务</w:t>
      </w:r>
      <w:r>
        <w:rPr>
          <w:rFonts w:eastAsia="等线" w:ascii="Arial" w:cs="Arial" w:hAnsi="Arial"/>
          <w:sz w:val="22"/>
        </w:rPr>
        <w:t>：删除未完成/已完成的定制记录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3.2.5 权限规则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定制技能为</w:t>
      </w:r>
      <w:r>
        <w:rPr>
          <w:rFonts w:eastAsia="等线" w:ascii="Arial" w:cs="Arial" w:hAnsi="Arial"/>
          <w:b w:val="true"/>
          <w:sz w:val="22"/>
        </w:rPr>
        <w:t>私有隔离技能</w:t>
      </w:r>
      <w:r>
        <w:rPr>
          <w:rFonts w:eastAsia="等线" w:ascii="Arial" w:cs="Arial" w:hAnsi="Arial"/>
          <w:sz w:val="22"/>
        </w:rPr>
        <w:t>，仅创建者可用，不会上架公共市场，其他用户无法查看、调用。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3.3 核心能力三：全板块全局调用能力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3.3.1 功能描述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所有技能（内置核心技能+市场安装技能+用户定制技能）统一注册至</w:t>
      </w:r>
      <w:r>
        <w:rPr>
          <w:rFonts w:eastAsia="等线" w:ascii="Arial" w:cs="Arial" w:hAnsi="Arial"/>
          <w:b w:val="true"/>
          <w:sz w:val="22"/>
        </w:rPr>
        <w:t>全局技能调用中台</w:t>
      </w:r>
      <w:r>
        <w:rPr>
          <w:rFonts w:eastAsia="等线" w:ascii="Arial" w:cs="Arial" w:hAnsi="Arial"/>
          <w:sz w:val="22"/>
        </w:rPr>
        <w:t>，系统所有业务板块可任意调用、组合调用、链式调用，实现技能能力全域复用。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3.3.2 可调用业务板块范围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智能选股、行情分析、策略回测、盘中预警、AI诊股、仓位管理、自选监控、复盘分析、风控管理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3.3.3 调用规则（核心逻辑）</w:t>
      </w:r>
      <w:bookmarkEnd w:id="2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一次安装，全板块共享：无需在每个板块重复添加技能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单技能独立调用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多技能链式组合调用</w:t>
      </w:r>
      <w:r>
        <w:rPr>
          <w:rFonts w:eastAsia="等线" w:ascii="Arial" w:cs="Arial" w:hAnsi="Arial"/>
          <w:sz w:val="22"/>
        </w:rPr>
        <w:t>（如：异动捕捉→多因子筛选→风控过滤）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支持板块默认技能绑定：用户可设置某板块默认使用的AI技能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技能状态联动：技能停用/卸载后，全板块同步失效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权限隔离：公共技能全员可用，私有定制技能仅本人可用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3.3.4 技能调用管理页面字段&amp;交互</w:t>
      </w:r>
      <w:bookmarkEnd w:id="2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字段：技能名称、技能类型、调用状态、授权板块、最近调用时间、调用次数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授权开关</w:t>
      </w:r>
      <w:r>
        <w:rPr>
          <w:rFonts w:eastAsia="等线" w:ascii="Arial" w:cs="Arial" w:hAnsi="Arial"/>
          <w:sz w:val="22"/>
        </w:rPr>
        <w:t>：可单独开启/关闭某板块对该技能的调用权限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设为默认技能</w:t>
      </w:r>
      <w:r>
        <w:rPr>
          <w:rFonts w:eastAsia="等线" w:ascii="Arial" w:cs="Arial" w:hAnsi="Arial"/>
          <w:sz w:val="22"/>
        </w:rPr>
        <w:t>：指定对应业务板块默认执行技能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查看调用日志</w:t>
      </w:r>
      <w:r>
        <w:rPr>
          <w:rFonts w:eastAsia="等线" w:ascii="Arial" w:cs="Arial" w:hAnsi="Arial"/>
          <w:sz w:val="22"/>
        </w:rPr>
        <w:t>：记录每次调用时间、调用板块、执行结果、耗时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 OpenClaw引擎对接PRD规则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4.1 对接能力清单</w:t>
      </w:r>
      <w:bookmarkEnd w:id="2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技能市场列表实时同步接口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技能安装、卸载、升级、启停控制接口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用户定制技能任务提交、进度查询、生成接口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技能执行调度、参数透传、结果返回接口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技能版本更新、状态同步、异常报错回调接口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4.2 分工逻辑</w:t>
      </w:r>
      <w:bookmarkEnd w:id="2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OpenClaw负责</w:t>
      </w:r>
      <w:r>
        <w:rPr>
          <w:rFonts w:eastAsia="等线" w:ascii="Arial" w:cs="Arial" w:hAnsi="Arial"/>
          <w:sz w:val="22"/>
        </w:rPr>
        <w:t>：算法运算、算力调度、技能底层运行、策略执行、数据计算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本系统负责</w:t>
      </w:r>
      <w:r>
        <w:rPr>
          <w:rFonts w:eastAsia="等线" w:ascii="Arial" w:cs="Arial" w:hAnsi="Arial"/>
          <w:sz w:val="22"/>
        </w:rPr>
        <w:t>：用户交互、技能管理、权限控制、全局分发、日志统计、页面展示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 我的技能（统一管理中心）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5.1 页面功能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聚合展示：系统内置技能+市场安装技能+用户定制技能，统一管理所有可用技能。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5.2 页面字段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技能名称、类型、来源（系统内置/技能市场/个人定制）、版本、状态（启用/停用）、操作按钮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5.3 操作按钮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配置参数、启用/停用、升级、卸载、查看日志、授权管理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 异常交互规则</w:t>
      </w:r>
      <w:bookmarkEnd w:id="29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OpenClaw连接失败：全局弹窗提示「引擎连接异常，技能能力暂时不可用」，所有技能调用入口置灰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技能执行失败：对应功能板块展示「技能执行异常」，附带错误码与原因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版本不兼容：提示「当前技能版本过低，请升级」，提供一键升级入口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权限不足：定制技能跨账号调用时，直接拦截并提示「无权限使用私有技能」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7. 模块原型结构图（极简框图，可直接交付UI）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【技能中心】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 1.技能市场（公开技能安装、升级、卸载）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 2.我的技能（全部技能统一管理）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 3.定制技能（私有技能提交、生成、安装）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 4.技能调用授权（跨板块权限、默认技能设置）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底层支撑</w:t>
      </w:r>
      <w:r>
        <w:rPr>
          <w:rFonts w:eastAsia="等线" w:ascii="Arial" w:cs="Arial" w:hAnsi="Arial"/>
          <w:sz w:val="22"/>
        </w:rPr>
        <w:t>：OpenClaw引擎对接 + 全局技能调用中台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上层输出</w:t>
      </w:r>
      <w:r>
        <w:rPr>
          <w:rFonts w:eastAsia="等线" w:ascii="Arial" w:cs="Arial" w:hAnsi="Arial"/>
          <w:sz w:val="22"/>
        </w:rPr>
        <w:t>：全业务板块无差别调用技能能力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1098">
    <w:lvl>
      <w:numFmt w:val="bullet"/>
      <w:suff w:val="tab"/>
      <w:lvlText w:val="•"/>
      <w:rPr>
        <w:color w:val="3370ff"/>
      </w:rPr>
    </w:lvl>
  </w:abstractNum>
  <w:abstractNum w:abstractNumId="331099">
    <w:lvl>
      <w:numFmt w:val="bullet"/>
      <w:suff w:val="tab"/>
      <w:lvlText w:val="•"/>
      <w:rPr>
        <w:color w:val="3370ff"/>
      </w:rPr>
    </w:lvl>
  </w:abstractNum>
  <w:abstractNum w:abstractNumId="331100">
    <w:lvl>
      <w:numFmt w:val="bullet"/>
      <w:suff w:val="tab"/>
      <w:lvlText w:val="•"/>
      <w:rPr>
        <w:color w:val="3370ff"/>
      </w:rPr>
    </w:lvl>
  </w:abstractNum>
  <w:abstractNum w:abstractNumId="331101">
    <w:lvl>
      <w:numFmt w:val="bullet"/>
      <w:suff w:val="tab"/>
      <w:lvlText w:val="•"/>
      <w:rPr>
        <w:color w:val="3370ff"/>
      </w:rPr>
    </w:lvl>
  </w:abstractNum>
  <w:abstractNum w:abstractNumId="331102">
    <w:lvl>
      <w:numFmt w:val="bullet"/>
      <w:suff w:val="tab"/>
      <w:lvlText w:val="•"/>
      <w:rPr>
        <w:color w:val="3370ff"/>
      </w:rPr>
    </w:lvl>
  </w:abstractNum>
  <w:abstractNum w:abstractNumId="331103">
    <w:lvl>
      <w:numFmt w:val="bullet"/>
      <w:suff w:val="tab"/>
      <w:lvlText w:val="•"/>
      <w:rPr>
        <w:color w:val="3370ff"/>
      </w:rPr>
    </w:lvl>
  </w:abstractNum>
  <w:abstractNum w:abstractNumId="331104">
    <w:lvl>
      <w:numFmt w:val="bullet"/>
      <w:suff w:val="tab"/>
      <w:lvlText w:val="•"/>
      <w:rPr>
        <w:color w:val="3370ff"/>
      </w:rPr>
    </w:lvl>
  </w:abstractNum>
  <w:abstractNum w:abstractNumId="331105">
    <w:lvl>
      <w:numFmt w:val="bullet"/>
      <w:suff w:val="tab"/>
      <w:lvlText w:val="•"/>
      <w:rPr>
        <w:color w:val="3370ff"/>
      </w:rPr>
    </w:lvl>
  </w:abstractNum>
  <w:abstractNum w:abstractNumId="331106">
    <w:lvl>
      <w:numFmt w:val="bullet"/>
      <w:suff w:val="tab"/>
      <w:lvlText w:val="•"/>
      <w:rPr>
        <w:color w:val="3370ff"/>
      </w:rPr>
    </w:lvl>
  </w:abstractNum>
  <w:abstractNum w:abstractNumId="331107">
    <w:lvl>
      <w:numFmt w:val="bullet"/>
      <w:suff w:val="tab"/>
      <w:lvlText w:val="•"/>
      <w:rPr>
        <w:color w:val="3370ff"/>
      </w:rPr>
    </w:lvl>
  </w:abstractNum>
  <w:abstractNum w:abstractNumId="331108">
    <w:lvl>
      <w:numFmt w:val="bullet"/>
      <w:suff w:val="tab"/>
      <w:lvlText w:val="•"/>
      <w:rPr>
        <w:color w:val="3370ff"/>
      </w:rPr>
    </w:lvl>
  </w:abstractNum>
  <w:abstractNum w:abstractNumId="331109">
    <w:lvl>
      <w:numFmt w:val="bullet"/>
      <w:suff w:val="tab"/>
      <w:lvlText w:val="•"/>
      <w:rPr>
        <w:color w:val="3370ff"/>
      </w:rPr>
    </w:lvl>
  </w:abstractNum>
  <w:abstractNum w:abstractNumId="331110">
    <w:lvl>
      <w:start w:val="1"/>
      <w:numFmt w:val="decimal"/>
      <w:suff w:val="tab"/>
      <w:lvlText w:val="%1."/>
      <w:rPr>
        <w:color w:val="3370ff"/>
      </w:rPr>
    </w:lvl>
  </w:abstractNum>
  <w:abstractNum w:abstractNumId="331111">
    <w:lvl>
      <w:start w:val="2"/>
      <w:numFmt w:val="decimal"/>
      <w:suff w:val="tab"/>
      <w:lvlText w:val="%1."/>
      <w:rPr>
        <w:color w:val="3370ff"/>
      </w:rPr>
    </w:lvl>
  </w:abstractNum>
  <w:abstractNum w:abstractNumId="331112">
    <w:lvl>
      <w:start w:val="3"/>
      <w:numFmt w:val="decimal"/>
      <w:suff w:val="tab"/>
      <w:lvlText w:val="%1."/>
      <w:rPr>
        <w:color w:val="3370ff"/>
      </w:rPr>
    </w:lvl>
  </w:abstractNum>
  <w:abstractNum w:abstractNumId="331113">
    <w:lvl>
      <w:start w:val="4"/>
      <w:numFmt w:val="decimal"/>
      <w:suff w:val="tab"/>
      <w:lvlText w:val="%1."/>
      <w:rPr>
        <w:color w:val="3370ff"/>
      </w:rPr>
    </w:lvl>
  </w:abstractNum>
  <w:abstractNum w:abstractNumId="331114">
    <w:lvl>
      <w:start w:val="5"/>
      <w:numFmt w:val="decimal"/>
      <w:suff w:val="tab"/>
      <w:lvlText w:val="%1."/>
      <w:rPr>
        <w:color w:val="3370ff"/>
      </w:rPr>
    </w:lvl>
  </w:abstractNum>
  <w:abstractNum w:abstractNumId="331115">
    <w:lvl>
      <w:numFmt w:val="bullet"/>
      <w:suff w:val="tab"/>
      <w:lvlText w:val="•"/>
      <w:rPr>
        <w:color w:val="3370ff"/>
      </w:rPr>
    </w:lvl>
  </w:abstractNum>
  <w:abstractNum w:abstractNumId="331116">
    <w:lvl>
      <w:numFmt w:val="bullet"/>
      <w:suff w:val="tab"/>
      <w:lvlText w:val="•"/>
      <w:rPr>
        <w:color w:val="3370ff"/>
      </w:rPr>
    </w:lvl>
  </w:abstractNum>
  <w:abstractNum w:abstractNumId="331117">
    <w:lvl>
      <w:numFmt w:val="bullet"/>
      <w:suff w:val="tab"/>
      <w:lvlText w:val="•"/>
      <w:rPr>
        <w:color w:val="3370ff"/>
      </w:rPr>
    </w:lvl>
  </w:abstractNum>
  <w:abstractNum w:abstractNumId="331118">
    <w:lvl>
      <w:numFmt w:val="bullet"/>
      <w:suff w:val="tab"/>
      <w:lvlText w:val="•"/>
      <w:rPr>
        <w:color w:val="3370ff"/>
      </w:rPr>
    </w:lvl>
  </w:abstractNum>
  <w:abstractNum w:abstractNumId="331119">
    <w:lvl>
      <w:numFmt w:val="bullet"/>
      <w:suff w:val="tab"/>
      <w:lvlText w:val="•"/>
      <w:rPr>
        <w:color w:val="3370ff"/>
      </w:rPr>
    </w:lvl>
  </w:abstractNum>
  <w:abstractNum w:abstractNumId="331120">
    <w:lvl>
      <w:numFmt w:val="bullet"/>
      <w:suff w:val="tab"/>
      <w:lvlText w:val="•"/>
      <w:rPr>
        <w:color w:val="3370ff"/>
      </w:rPr>
    </w:lvl>
  </w:abstractNum>
  <w:abstractNum w:abstractNumId="331121">
    <w:lvl>
      <w:numFmt w:val="bullet"/>
      <w:suff w:val="tab"/>
      <w:lvlText w:val="•"/>
      <w:rPr>
        <w:color w:val="3370ff"/>
      </w:rPr>
    </w:lvl>
  </w:abstractNum>
  <w:abstractNum w:abstractNumId="331122">
    <w:lvl>
      <w:numFmt w:val="bullet"/>
      <w:suff w:val="tab"/>
      <w:lvlText w:val="•"/>
      <w:rPr>
        <w:color w:val="3370ff"/>
      </w:rPr>
    </w:lvl>
  </w:abstractNum>
  <w:abstractNum w:abstractNumId="331123">
    <w:lvl>
      <w:numFmt w:val="bullet"/>
      <w:suff w:val="tab"/>
      <w:lvlText w:val="•"/>
      <w:rPr>
        <w:color w:val="3370ff"/>
      </w:rPr>
    </w:lvl>
  </w:abstractNum>
  <w:abstractNum w:abstractNumId="331124">
    <w:lvl>
      <w:numFmt w:val="bullet"/>
      <w:suff w:val="tab"/>
      <w:lvlText w:val="•"/>
      <w:rPr>
        <w:color w:val="3370ff"/>
      </w:rPr>
    </w:lvl>
  </w:abstractNum>
  <w:abstractNum w:abstractNumId="331125">
    <w:lvl>
      <w:numFmt w:val="bullet"/>
      <w:suff w:val="tab"/>
      <w:lvlText w:val="•"/>
      <w:rPr>
        <w:color w:val="3370ff"/>
      </w:rPr>
    </w:lvl>
  </w:abstractNum>
  <w:abstractNum w:abstractNumId="331126">
    <w:lvl>
      <w:numFmt w:val="bullet"/>
      <w:suff w:val="tab"/>
      <w:lvlText w:val="•"/>
      <w:rPr>
        <w:color w:val="3370ff"/>
      </w:rPr>
    </w:lvl>
  </w:abstractNum>
  <w:abstractNum w:abstractNumId="331127">
    <w:lvl>
      <w:numFmt w:val="bullet"/>
      <w:suff w:val="tab"/>
      <w:lvlText w:val="•"/>
      <w:rPr>
        <w:color w:val="3370ff"/>
      </w:rPr>
    </w:lvl>
  </w:abstractNum>
  <w:abstractNum w:abstractNumId="331128">
    <w:lvl>
      <w:numFmt w:val="bullet"/>
      <w:suff w:val="tab"/>
      <w:lvlText w:val="•"/>
      <w:rPr>
        <w:color w:val="3370ff"/>
      </w:rPr>
    </w:lvl>
  </w:abstractNum>
  <w:abstractNum w:abstractNumId="331129">
    <w:lvl>
      <w:numFmt w:val="bullet"/>
      <w:suff w:val="tab"/>
      <w:lvlText w:val="•"/>
      <w:rPr>
        <w:color w:val="3370ff"/>
      </w:rPr>
    </w:lvl>
  </w:abstractNum>
  <w:abstractNum w:abstractNumId="331130">
    <w:lvl>
      <w:numFmt w:val="bullet"/>
      <w:suff w:val="tab"/>
      <w:lvlText w:val="•"/>
      <w:rPr>
        <w:color w:val="3370ff"/>
      </w:rPr>
    </w:lvl>
  </w:abstractNum>
  <w:abstractNum w:abstractNumId="331131">
    <w:lvl>
      <w:numFmt w:val="bullet"/>
      <w:suff w:val="tab"/>
      <w:lvlText w:val="•"/>
      <w:rPr>
        <w:color w:val="3370ff"/>
      </w:rPr>
    </w:lvl>
  </w:abstractNum>
  <w:abstractNum w:abstractNumId="331132">
    <w:lvl>
      <w:numFmt w:val="bullet"/>
      <w:suff w:val="tab"/>
      <w:lvlText w:val="•"/>
      <w:rPr>
        <w:color w:val="3370ff"/>
      </w:rPr>
    </w:lvl>
  </w:abstractNum>
  <w:abstractNum w:abstractNumId="331133">
    <w:lvl>
      <w:numFmt w:val="bullet"/>
      <w:suff w:val="tab"/>
      <w:lvlText w:val="•"/>
      <w:rPr>
        <w:color w:val="3370ff"/>
      </w:rPr>
    </w:lvl>
  </w:abstractNum>
  <w:abstractNum w:abstractNumId="331134">
    <w:lvl>
      <w:numFmt w:val="bullet"/>
      <w:suff w:val="tab"/>
      <w:lvlText w:val="•"/>
      <w:rPr>
        <w:color w:val="3370ff"/>
      </w:rPr>
    </w:lvl>
  </w:abstractNum>
  <w:abstractNum w:abstractNumId="331135">
    <w:lvl>
      <w:numFmt w:val="bullet"/>
      <w:suff w:val="tab"/>
      <w:lvlText w:val="•"/>
      <w:rPr>
        <w:color w:val="3370ff"/>
      </w:rPr>
    </w:lvl>
  </w:abstractNum>
  <w:abstractNum w:abstractNumId="331136">
    <w:lvl>
      <w:numFmt w:val="bullet"/>
      <w:suff w:val="tab"/>
      <w:lvlText w:val="•"/>
      <w:rPr>
        <w:color w:val="3370ff"/>
      </w:rPr>
    </w:lvl>
  </w:abstractNum>
  <w:abstractNum w:abstractNumId="331137">
    <w:lvl>
      <w:numFmt w:val="bullet"/>
      <w:suff w:val="tab"/>
      <w:lvlText w:val="•"/>
      <w:rPr>
        <w:color w:val="3370ff"/>
      </w:rPr>
    </w:lvl>
  </w:abstractNum>
  <w:abstractNum w:abstractNumId="331138">
    <w:lvl>
      <w:numFmt w:val="bullet"/>
      <w:suff w:val="tab"/>
      <w:lvlText w:val="•"/>
      <w:rPr>
        <w:color w:val="3370ff"/>
      </w:rPr>
    </w:lvl>
  </w:abstractNum>
  <w:abstractNum w:abstractNumId="331139">
    <w:lvl>
      <w:numFmt w:val="bullet"/>
      <w:suff w:val="tab"/>
      <w:lvlText w:val="•"/>
      <w:rPr>
        <w:color w:val="3370ff"/>
      </w:rPr>
    </w:lvl>
  </w:abstractNum>
  <w:abstractNum w:abstractNumId="331140">
    <w:lvl>
      <w:numFmt w:val="bullet"/>
      <w:suff w:val="tab"/>
      <w:lvlText w:val="•"/>
      <w:rPr>
        <w:color w:val="3370ff"/>
      </w:rPr>
    </w:lvl>
  </w:abstractNum>
  <w:abstractNum w:abstractNumId="331141">
    <w:lvl>
      <w:numFmt w:val="bullet"/>
      <w:suff w:val="tab"/>
      <w:lvlText w:val="•"/>
      <w:rPr>
        <w:color w:val="3370ff"/>
      </w:rPr>
    </w:lvl>
  </w:abstractNum>
  <w:abstractNum w:abstractNumId="331142">
    <w:lvl>
      <w:numFmt w:val="bullet"/>
      <w:suff w:val="tab"/>
      <w:lvlText w:val="•"/>
      <w:rPr>
        <w:color w:val="3370ff"/>
      </w:rPr>
    </w:lvl>
  </w:abstractNum>
  <w:abstractNum w:abstractNumId="331143">
    <w:lvl>
      <w:numFmt w:val="bullet"/>
      <w:suff w:val="tab"/>
      <w:lvlText w:val="•"/>
      <w:rPr>
        <w:color w:val="3370ff"/>
      </w:rPr>
    </w:lvl>
  </w:abstractNum>
  <w:abstractNum w:abstractNumId="331144">
    <w:lvl>
      <w:numFmt w:val="bullet"/>
      <w:suff w:val="tab"/>
      <w:lvlText w:val="•"/>
      <w:rPr>
        <w:color w:val="3370ff"/>
      </w:rPr>
    </w:lvl>
  </w:abstractNum>
  <w:abstractNum w:abstractNumId="331145">
    <w:lvl>
      <w:numFmt w:val="bullet"/>
      <w:suff w:val="tab"/>
      <w:lvlText w:val="•"/>
      <w:rPr>
        <w:color w:val="3370ff"/>
      </w:rPr>
    </w:lvl>
  </w:abstractNum>
  <w:num w:numId="1">
    <w:abstractNumId w:val="331098"/>
  </w:num>
  <w:num w:numId="2">
    <w:abstractNumId w:val="331099"/>
  </w:num>
  <w:num w:numId="3">
    <w:abstractNumId w:val="331100"/>
  </w:num>
  <w:num w:numId="4">
    <w:abstractNumId w:val="331101"/>
  </w:num>
  <w:num w:numId="5">
    <w:abstractNumId w:val="331102"/>
  </w:num>
  <w:num w:numId="6">
    <w:abstractNumId w:val="331103"/>
  </w:num>
  <w:num w:numId="7">
    <w:abstractNumId w:val="331104"/>
  </w:num>
  <w:num w:numId="8">
    <w:abstractNumId w:val="331105"/>
  </w:num>
  <w:num w:numId="9">
    <w:abstractNumId w:val="331106"/>
  </w:num>
  <w:num w:numId="10">
    <w:abstractNumId w:val="331107"/>
  </w:num>
  <w:num w:numId="11">
    <w:abstractNumId w:val="331108"/>
  </w:num>
  <w:num w:numId="12">
    <w:abstractNumId w:val="331109"/>
  </w:num>
  <w:num w:numId="13">
    <w:abstractNumId w:val="331110"/>
  </w:num>
  <w:num w:numId="14">
    <w:abstractNumId w:val="331111"/>
  </w:num>
  <w:num w:numId="15">
    <w:abstractNumId w:val="331112"/>
  </w:num>
  <w:num w:numId="16">
    <w:abstractNumId w:val="331113"/>
  </w:num>
  <w:num w:numId="17">
    <w:abstractNumId w:val="331114"/>
  </w:num>
  <w:num w:numId="18">
    <w:abstractNumId w:val="331115"/>
  </w:num>
  <w:num w:numId="19">
    <w:abstractNumId w:val="331116"/>
  </w:num>
  <w:num w:numId="20">
    <w:abstractNumId w:val="331117"/>
  </w:num>
  <w:num w:numId="21">
    <w:abstractNumId w:val="331118"/>
  </w:num>
  <w:num w:numId="22">
    <w:abstractNumId w:val="331119"/>
  </w:num>
  <w:num w:numId="23">
    <w:abstractNumId w:val="331120"/>
  </w:num>
  <w:num w:numId="24">
    <w:abstractNumId w:val="331121"/>
  </w:num>
  <w:num w:numId="25">
    <w:abstractNumId w:val="331122"/>
  </w:num>
  <w:num w:numId="26">
    <w:abstractNumId w:val="331123"/>
  </w:num>
  <w:num w:numId="27">
    <w:abstractNumId w:val="331124"/>
  </w:num>
  <w:num w:numId="28">
    <w:abstractNumId w:val="331125"/>
  </w:num>
  <w:num w:numId="29">
    <w:abstractNumId w:val="331126"/>
  </w:num>
  <w:num w:numId="30">
    <w:abstractNumId w:val="331127"/>
  </w:num>
  <w:num w:numId="31">
    <w:abstractNumId w:val="331128"/>
  </w:num>
  <w:num w:numId="32">
    <w:abstractNumId w:val="331129"/>
  </w:num>
  <w:num w:numId="33">
    <w:abstractNumId w:val="331130"/>
  </w:num>
  <w:num w:numId="34">
    <w:abstractNumId w:val="331131"/>
  </w:num>
  <w:num w:numId="35">
    <w:abstractNumId w:val="331132"/>
  </w:num>
  <w:num w:numId="36">
    <w:abstractNumId w:val="331133"/>
  </w:num>
  <w:num w:numId="37">
    <w:abstractNumId w:val="331134"/>
  </w:num>
  <w:num w:numId="38">
    <w:abstractNumId w:val="331135"/>
  </w:num>
  <w:num w:numId="39">
    <w:abstractNumId w:val="331136"/>
  </w:num>
  <w:num w:numId="40">
    <w:abstractNumId w:val="331137"/>
  </w:num>
  <w:num w:numId="41">
    <w:abstractNumId w:val="331138"/>
  </w:num>
  <w:num w:numId="42">
    <w:abstractNumId w:val="331139"/>
  </w:num>
  <w:num w:numId="43">
    <w:abstractNumId w:val="331140"/>
  </w:num>
  <w:num w:numId="44">
    <w:abstractNumId w:val="331141"/>
  </w:num>
  <w:num w:numId="45">
    <w:abstractNumId w:val="331142"/>
  </w:num>
  <w:num w:numId="46">
    <w:abstractNumId w:val="331143"/>
  </w:num>
  <w:num w:numId="47">
    <w:abstractNumId w:val="331144"/>
  </w:num>
  <w:num w:numId="48">
    <w:abstractNumId w:val="3311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2026-05-12T08:29:27Z</dcterms:created>
  <dc:creator>Apache POI</dc:creator>
</cp:coreProperties>
</file>