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3F16F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下面我先 </w:t>
      </w:r>
      <w:r>
        <w:rPr>
          <w:rStyle w:val="8"/>
        </w:rPr>
        <w:t>逐条解读原内容</w:t>
      </w:r>
      <w:r>
        <w:t>，再结合量化、交易心理、风险控制，帮你优化成一套</w:t>
      </w:r>
      <w:r>
        <w:rPr>
          <w:rStyle w:val="8"/>
        </w:rPr>
        <w:t>可执行、可回测、可长期稳定盈利的选股体系</w:t>
      </w:r>
      <w:r>
        <w:t>。</w:t>
      </w:r>
    </w:p>
    <w:p w14:paraId="1C7D40F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62DD5">
      <w:pPr>
        <w:pStyle w:val="2"/>
        <w:keepNext w:val="0"/>
        <w:keepLines w:val="0"/>
        <w:widowControl/>
        <w:suppressLineNumbers w:val="0"/>
      </w:pPr>
      <w:r>
        <w:t>1. 原文逐条解读</w:t>
      </w:r>
    </w:p>
    <w:p w14:paraId="5658B99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1: 板块题材（热度）</w:t>
      </w:r>
    </w:p>
    <w:p w14:paraId="1FBA49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本质是跟随市场资金流向，选择当前资金关注度高的板块，这类板块在短期内的上涨概率更高。</w:t>
      </w:r>
    </w:p>
    <w:p w14:paraId="557F8D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风险是盲目追热，容易买在高位。</w:t>
      </w:r>
    </w:p>
    <w:p w14:paraId="7306EF8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2: 形态:</w:t>
      </w:r>
    </w:p>
    <w:p w14:paraId="6BC9C3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横盘上升：资金在持续吸筹，有突破倾向。</w:t>
      </w:r>
    </w:p>
    <w:p w14:paraId="035181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回调企稳：上涨趋势中的健康调整，适合低吸。</w:t>
      </w:r>
    </w:p>
    <w:p w14:paraId="4991E1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单边上行：趋势强劲，但存在短线回调风险。</w:t>
      </w:r>
    </w:p>
    <w:p w14:paraId="3BDF22E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3: 龙虎榜净买入</w:t>
      </w:r>
    </w:p>
    <w:p w14:paraId="364612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游资席位代表短线活跃资金，机构席位体现中长期资金认可。</w:t>
      </w:r>
    </w:p>
    <w:p w14:paraId="132BB7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需要结合席位历史操作风格去判断资金意图。</w:t>
      </w:r>
    </w:p>
    <w:p w14:paraId="13AA633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4: 融资余额持续增加</w:t>
      </w:r>
    </w:p>
    <w:p w14:paraId="7F5DF8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说明市场杠杆资金看好该股，但过高杠杆也可能是顶部风险信号。</w:t>
      </w:r>
    </w:p>
    <w:p w14:paraId="549F0B0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5: 主力净比与主力净额 双向增加</w:t>
      </w:r>
    </w:p>
    <w:p w14:paraId="17F967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资金面确认走势，有助于筛掉无资金推动的票。</w:t>
      </w:r>
    </w:p>
    <w:p w14:paraId="236B7B4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6: 基本面 财报 利润率 现金流 业务赛道前景</w:t>
      </w:r>
    </w:p>
    <w:p w14:paraId="7F0B63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这是中长线的安全垫，筛选基本面优质公司可降低大幅回撤风险。</w:t>
      </w:r>
    </w:p>
    <w:p w14:paraId="0DE05AB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7: 集合竞价</w:t>
      </w:r>
    </w:p>
    <w:p w14:paraId="7BA057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可反映当日资金意愿，强势股常在集合竞价阶段体现溢价。</w:t>
      </w:r>
    </w:p>
    <w:p w14:paraId="247F841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8: 盘口解读</w:t>
      </w:r>
    </w:p>
    <w:p w14:paraId="4F8D8D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吸筹、洗盘、拉升、出货等盘口状态，短线交易者可结合分时判断，但需要丰富的盘感和经验。</w:t>
      </w:r>
    </w:p>
    <w:p w14:paraId="182E2CE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A. 选股总步骤</w:t>
      </w:r>
    </w:p>
    <w:p w14:paraId="47A8C48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① 宏观—板块选择（确定资金方向）</w:t>
      </w:r>
    </w:p>
    <w:p w14:paraId="3812BB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热门板块判断：</w:t>
      </w:r>
    </w:p>
    <w:p w14:paraId="10C9A50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板块指数近5日涨幅 &gt; 市场平均涨幅</w:t>
      </w:r>
    </w:p>
    <w:p w14:paraId="1999E73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板块成交额连续3日排名前5</w:t>
      </w:r>
    </w:p>
    <w:p w14:paraId="3F04617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板块资金净流入持续3日为正</w:t>
      </w:r>
    </w:p>
    <w:p w14:paraId="79CBF7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工具：同花顺板块资金流向、东方财富板块资金。</w:t>
      </w:r>
    </w:p>
    <w:p w14:paraId="38B7B6E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② 个股初筛（基本面过滤）</w:t>
      </w:r>
    </w:p>
    <w:p w14:paraId="0563BF46">
      <w:pPr>
        <w:pStyle w:val="5"/>
        <w:keepNext w:val="0"/>
        <w:keepLines w:val="0"/>
        <w:widowControl/>
        <w:suppressLineNumbers w:val="0"/>
      </w:pPr>
      <w:r>
        <w:t>保留基本面优质标的，避免纯垃圾题材：</w:t>
      </w:r>
    </w:p>
    <w:p w14:paraId="56CA5E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市值：&gt; 50亿（避免极小盘控盘过度，也避开流动性差的股票）</w:t>
      </w:r>
    </w:p>
    <w:p w14:paraId="7947512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过去3年中至少2年盈利</w:t>
      </w:r>
    </w:p>
    <w:p w14:paraId="728000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最近一期财报ROE ≥ 8%，净利润同比增长 ≥ 15%</w:t>
      </w:r>
    </w:p>
    <w:p w14:paraId="04BDC7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经营性现金流为正</w:t>
      </w:r>
    </w:p>
    <w:p w14:paraId="51A802D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③ 技术形态筛选（趋势安全区）</w:t>
      </w:r>
    </w:p>
    <w:p w14:paraId="002F32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日K沿20日均线上方运行</w:t>
      </w:r>
    </w:p>
    <w:p w14:paraId="3BBC01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60日均线向上，价格距60日线 &lt; 15%</w:t>
      </w:r>
    </w:p>
    <w:p w14:paraId="56EE86B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5日均量线大于10日均量线（量能放大）</w:t>
      </w:r>
    </w:p>
    <w:p w14:paraId="29D97C0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形态优先级：横盘突破 &gt; 回调企稳 &gt; 单边上行（回踩买）</w:t>
      </w:r>
    </w:p>
    <w:p w14:paraId="3B1EC3E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④ 资金面验证（防假突破）</w:t>
      </w:r>
    </w:p>
    <w:p w14:paraId="790510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最近5日资金净流入为正（主力净流入 &gt; 1亿）</w:t>
      </w:r>
    </w:p>
    <w:p w14:paraId="592737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龙虎榜席位中有知名游资/机构参与，且买入金额 &gt; 卖出金额</w:t>
      </w:r>
    </w:p>
    <w:p w14:paraId="11FD483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融资余额相较10日前增加 &gt; 5%（中短期资金看好）</w:t>
      </w:r>
    </w:p>
    <w:p w14:paraId="3350CE06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⑤ 当日验证（介入时机）</w:t>
      </w:r>
    </w:p>
    <w:p w14:paraId="5BBCE9B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集合竞价高开幅度 &lt; 5% 且竞价成交量高于过去10日均值</w:t>
      </w:r>
    </w:p>
    <w:p w14:paraId="6CC49BB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分时走势中，开盘30分钟内回踩均线承接良好，再放量上攻</w:t>
      </w:r>
    </w:p>
    <w:p w14:paraId="0F6057F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0356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B. 买卖与仓位管理</w:t>
      </w:r>
    </w:p>
    <w:p w14:paraId="09A660E4">
      <w:pPr>
        <w:pStyle w:val="5"/>
        <w:keepNext w:val="0"/>
        <w:keepLines w:val="0"/>
        <w:widowControl/>
        <w:suppressLineNumbers w:val="0"/>
        <w:ind w:left="0" w:leftChars="0" w:right="0" w:rightChars="0"/>
      </w:pPr>
      <w:r>
        <w:rPr>
          <w:rFonts w:ascii="Times New Roman" w:hAnsi="Times New Roman" w:eastAsia="宋体" w:cs="Times New Roman"/>
          <w:b/>
          <w:kern w:val="0"/>
          <w:sz w:val="24"/>
          <w:szCs w:val="22"/>
          <w:lang w:val="en-US" w:eastAsia="zh-CN" w:bidi="ar"/>
        </w:rPr>
        <w:t>买入规则</w:t>
      </w:r>
    </w:p>
    <w:p w14:paraId="01E915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ascii="Times New Roman" w:hAnsi="Times New Roman" w:eastAsia="宋体" w:cs="Times New Roman"/>
          <w:sz w:val="21"/>
          <w:szCs w:val="22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分批建仓，首次买入≤30%总资金</w:t>
      </w:r>
    </w:p>
    <w:p w14:paraId="0800115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ascii="Times New Roman" w:hAnsi="Times New Roman" w:eastAsia="宋体" w:cs="Times New Roman"/>
          <w:sz w:val="21"/>
          <w:szCs w:val="22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超短策略：资金面与板块共振时可全仓，但需设止损位</w:t>
      </w:r>
    </w:p>
    <w:p w14:paraId="01DBBE3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ascii="Times New Roman" w:hAnsi="Times New Roman" w:eastAsia="宋体" w:cs="Times New Roman"/>
          <w:sz w:val="21"/>
          <w:szCs w:val="22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止损：收盘价跌破5日线或跌幅≥5%立即离场</w:t>
      </w:r>
    </w:p>
    <w:p w14:paraId="57213AF1">
      <w:pPr>
        <w:pStyle w:val="5"/>
        <w:keepNext w:val="0"/>
        <w:keepLines w:val="0"/>
        <w:widowControl/>
        <w:suppressLineNumbers w:val="0"/>
        <w:ind w:left="0" w:leftChars="0" w:right="0" w:rightChars="0"/>
      </w:pPr>
      <w:r>
        <w:rPr>
          <w:rFonts w:ascii="Times New Roman" w:hAnsi="Times New Roman" w:eastAsia="宋体" w:cs="Times New Roman"/>
          <w:b/>
          <w:kern w:val="0"/>
          <w:sz w:val="24"/>
          <w:szCs w:val="22"/>
          <w:lang w:val="en-US" w:eastAsia="zh-CN" w:bidi="ar"/>
        </w:rPr>
        <w:t>卖出规则</w:t>
      </w:r>
    </w:p>
    <w:p w14:paraId="539F783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ascii="Times New Roman" w:hAnsi="Times New Roman" w:eastAsia="宋体" w:cs="Times New Roman"/>
          <w:sz w:val="21"/>
          <w:szCs w:val="22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短线：3日不创新高或放量长上影线→减仓</w:t>
      </w:r>
    </w:p>
    <w:p w14:paraId="6C34F2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ascii="Times New Roman" w:hAnsi="Times New Roman" w:eastAsia="宋体" w:cs="Times New Roman"/>
          <w:sz w:val="21"/>
          <w:szCs w:val="22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中线：跌破20日线→止盈出局</w:t>
      </w:r>
    </w:p>
    <w:p w14:paraId="4B1507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ascii="Times New Roman" w:hAnsi="Times New Roman" w:eastAsia="宋体" w:cs="Times New Roman"/>
          <w:sz w:val="21"/>
          <w:szCs w:val="22"/>
        </w:rPr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游资席位次日大幅卖出→次日冲高减仓</w:t>
      </w:r>
    </w:p>
    <w:p w14:paraId="14C2DB7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A606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C. 风险与稳定性保障</w:t>
      </w:r>
    </w:p>
    <w:p w14:paraId="38F60D9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组合持仓</w:t>
      </w:r>
      <w:r>
        <w:t>：</w:t>
      </w:r>
    </w:p>
    <w:p w14:paraId="05CBDBB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同一板块不超过总仓位的50%</w:t>
      </w:r>
    </w:p>
    <w:p w14:paraId="05B90C96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单股仓位 ≤ 30%，避免黑天鹅</w:t>
      </w:r>
    </w:p>
    <w:p w14:paraId="05384A8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市场情绪调节</w:t>
      </w:r>
      <w:r>
        <w:t>：</w:t>
      </w:r>
    </w:p>
    <w:p w14:paraId="6546BA7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情绪极端高涨时（两市涨停家数 &gt; 100 且连续2日），减低仓位</w:t>
      </w:r>
    </w:p>
    <w:p w14:paraId="24E4CBE2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情绪极端低迷时（两市跌停家数 &gt; 50 且连续3日），不追空，寻找反弹标的</w:t>
      </w:r>
    </w:p>
    <w:p w14:paraId="5D0A90D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回测验证</w:t>
      </w:r>
      <w:r>
        <w:t>：</w:t>
      </w:r>
    </w:p>
    <w:p w14:paraId="3363159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用3年以上的历史数据回测你的筛选条件</w:t>
      </w:r>
    </w:p>
    <w:p w14:paraId="449E4F70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120" w:afterAutospacing="0"/>
        <w:ind w:left="1440" w:hanging="360"/>
      </w:pPr>
      <w:r>
        <w:t>确保</w:t>
      </w:r>
      <w:r>
        <w:rPr>
          <w:rFonts w:hint="eastAsia"/>
          <w:lang w:val="en-US" w:eastAsia="zh-CN"/>
        </w:rPr>
        <w:t>月</w:t>
      </w:r>
      <w:r>
        <w:t xml:space="preserve">化收益 &gt; </w:t>
      </w:r>
      <w:r>
        <w:rPr>
          <w:rFonts w:hint="eastAsia"/>
          <w:lang w:val="en-US" w:eastAsia="zh-CN"/>
        </w:rPr>
        <w:t>3</w:t>
      </w:r>
      <w:r>
        <w:t>0%，最大回撤 &lt; 5% 才上线实盘</w:t>
      </w:r>
    </w:p>
    <w:p w14:paraId="72FE76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0"/>
        <w:jc w:val="both"/>
      </w:pPr>
    </w:p>
    <w:p w14:paraId="2D0EB2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0"/>
        <w:jc w:val="both"/>
      </w:pPr>
    </w:p>
    <w:p w14:paraId="4563FE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0"/>
        <w:jc w:val="both"/>
      </w:pPr>
    </w:p>
    <w:p w14:paraId="75F264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0"/>
        <w:jc w:val="both"/>
      </w:pPr>
    </w:p>
    <w:p w14:paraId="64E50D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0"/>
        <w:jc w:val="both"/>
      </w:pPr>
    </w:p>
    <w:p w14:paraId="77F1AE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0"/>
        <w:jc w:val="both"/>
      </w:pPr>
    </w:p>
    <w:p w14:paraId="4C8903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0"/>
        <w:jc w:val="both"/>
      </w:pPr>
    </w:p>
    <w:p w14:paraId="5E520E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0"/>
        <w:jc w:val="both"/>
      </w:pPr>
    </w:p>
    <w:p w14:paraId="374A44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0"/>
        <w:jc w:val="both"/>
      </w:pPr>
    </w:p>
    <w:p w14:paraId="6FA86F25">
      <w:pPr>
        <w:jc w:val="center"/>
        <w:rPr>
          <w:rFonts w:hint="eastAsia" w:ascii="宋体" w:hAnsi="宋体" w:eastAsia="宋体" w:cs="宋体"/>
        </w:rPr>
      </w:pPr>
    </w:p>
    <w:p w14:paraId="487B37E7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股票投资策略关键步骤与规则</w:t>
      </w:r>
    </w:p>
    <w:p w14:paraId="3BD7A21A">
      <w:pPr>
        <w:jc w:val="center"/>
        <w:rPr>
          <w:rFonts w:hint="eastAsia" w:ascii="宋体" w:hAnsi="宋体" w:eastAsia="宋体" w:cs="宋体"/>
        </w:rPr>
      </w:pPr>
    </w:p>
    <w:p w14:paraId="73E4DA2E">
      <w:pPr>
        <w:jc w:val="center"/>
        <w:rPr>
          <w:rFonts w:hint="eastAsia" w:ascii="宋体" w:hAnsi="宋体" w:eastAsia="宋体" w:cs="宋体"/>
        </w:rPr>
      </w:pPr>
    </w:p>
    <w:tbl>
      <w:tblPr>
        <w:tblStyle w:val="6"/>
        <w:tblW w:w="491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8"/>
        <w:gridCol w:w="5501"/>
        <w:gridCol w:w="2249"/>
      </w:tblGrid>
      <w:tr w14:paraId="7FB4B2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CEB256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2"/>
              </w:rPr>
              <w:t>类别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FB890F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2"/>
              </w:rPr>
              <w:t>关键点描述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42B258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2"/>
              </w:rPr>
              <w:t>补充信息</w:t>
            </w:r>
          </w:p>
        </w:tc>
      </w:tr>
      <w:tr w14:paraId="3DBA1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BF2017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宏观板块选择</w:t>
            </w:r>
          </w:p>
          <w:p w14:paraId="4643D320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即：主力资金就流入方向。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82ED32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板块指数近5日涨幅 &gt; 市场平均涨幅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218235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  <w:lang w:val="en-US" w:eastAsia="zh-CN"/>
              </w:rPr>
              <w:t>当日资金流入最多的板块</w:t>
            </w:r>
          </w:p>
        </w:tc>
      </w:tr>
      <w:tr w14:paraId="6876D0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8B443E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9F8C40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板块成交额连续3日排名前5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7F1FB4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  <w:lang w:val="en-US" w:eastAsia="zh-CN"/>
              </w:rPr>
              <w:t>政策导向，明确行业指导</w:t>
            </w:r>
          </w:p>
        </w:tc>
      </w:tr>
      <w:tr w14:paraId="6AFE2F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E60CDF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5BF865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板块资金净流入持续3日为正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9A10E7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工具：同花顺板块资金流向、东方财富板块资金</w:t>
            </w:r>
          </w:p>
        </w:tc>
      </w:tr>
      <w:tr w14:paraId="047794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1FE01A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A.2 个股初筛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F2DADD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市值 &gt; 50亿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F85198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避免极小盘控盘过度，避开流动性差股票</w:t>
            </w:r>
          </w:p>
        </w:tc>
      </w:tr>
      <w:tr w14:paraId="573C34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37C7C9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E32A1F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过去3年中至少2年盈利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0D937C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  <w:lang w:val="en-US" w:eastAsia="zh-CN"/>
              </w:rPr>
              <w:t>近一年财报通过DS深度分析，研判真实增长。</w:t>
            </w:r>
          </w:p>
        </w:tc>
      </w:tr>
      <w:tr w14:paraId="29915F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92550C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165446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最近一期财报ROE ≥ 8%，净利润同比增长 ≥ 15%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E00D33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  <w:lang w:val="en-US" w:eastAsia="zh-CN"/>
              </w:rPr>
              <w:t>最近一季度财报重点参考</w:t>
            </w:r>
          </w:p>
        </w:tc>
      </w:tr>
      <w:tr w14:paraId="60E113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310B3C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2F2BF7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经营性现金流为正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0C4AD1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  <w:lang w:val="en-US" w:eastAsia="zh-CN"/>
              </w:rPr>
              <w:t>同行业相比高利润，高毛利，高增长。</w:t>
            </w:r>
          </w:p>
        </w:tc>
      </w:tr>
      <w:tr w14:paraId="3B57C3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9E7BCC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AA8C4A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股东人数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439505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  <w:lang w:val="en-US" w:eastAsia="zh-CN"/>
              </w:rPr>
              <w:t xml:space="preserve">股东人数大幅减少，筹码高度集中，主力机构控盘 </w:t>
            </w:r>
          </w:p>
        </w:tc>
      </w:tr>
      <w:tr w14:paraId="68B53C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3AAA36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824DAD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机构持仓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1A1D0A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  <w:lang w:val="en-US" w:eastAsia="zh-CN"/>
              </w:rPr>
              <w:t>机构数量增加，持股比例增加</w:t>
            </w:r>
          </w:p>
        </w:tc>
      </w:tr>
      <w:tr w14:paraId="360908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415A55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2438DF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并购，重组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0EFC65"/>
        </w:tc>
      </w:tr>
      <w:tr w14:paraId="0A304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EDD0CA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BEB46D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重大技术突破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5D70DA"/>
        </w:tc>
      </w:tr>
      <w:tr w14:paraId="5CFEA9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E8A211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76DF3D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股东增减持，大宗交易（折价/溢价？）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F824CC"/>
        </w:tc>
      </w:tr>
      <w:tr w14:paraId="0C1A17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F3677F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A.3 技术形态筛选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60E492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日K沿20日均线上方运行（日线横盘上升，周线月线筹码底部堆积向上，放量突破当日密切关注）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91B75B"/>
        </w:tc>
      </w:tr>
      <w:tr w14:paraId="4194B3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67DBC3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74155E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60日均线向上，价格距60日线 &lt;15%（高位回调，下跌动能不断减弱，上升动能伴量初现密切关注待机介入）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A411ED"/>
        </w:tc>
      </w:tr>
      <w:tr w14:paraId="782DA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73C8ED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4930EC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5日均量线大于10日均量线（量能放大）（持续单边温和上涨，能量逐渐放大，关切主力资金初现放大，快速择机介入。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6D1204"/>
        </w:tc>
      </w:tr>
      <w:tr w14:paraId="5AE64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1797DE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CFE5B4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形态优先级：横盘突破 &gt; 回调企稳 &gt; 单边上行（回踩买）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3BC557"/>
        </w:tc>
      </w:tr>
      <w:tr w14:paraId="49FB01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066BC2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A.4 资金面验证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164A9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最近5日资金净流入为正（主力净流入 &gt; 1亿）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CA8B26"/>
        </w:tc>
      </w:tr>
      <w:tr w14:paraId="5BA6EF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7F9E51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7070FB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主力净比% 越大越好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A48FAC"/>
        </w:tc>
      </w:tr>
      <w:tr w14:paraId="533795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B0BC7B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B7E62F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主力净额（参考流通股市值）主买净额/净比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D0FE2A"/>
        </w:tc>
      </w:tr>
      <w:tr w14:paraId="112BFE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5DFE97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10E252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重点关注（龙虎榜主力多机构大幅买入，主力净比高，但股价未涨停，小幅上涨的票，次日盘面配合，果断买入）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F00216"/>
        </w:tc>
      </w:tr>
      <w:tr w14:paraId="145F1C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471E49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190037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龙虎榜席位中有知名游资/机构参与，且买入金额 &gt; 卖出金额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0B987A"/>
        </w:tc>
      </w:tr>
      <w:tr w14:paraId="40B9D2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D9442E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61F0DB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融资余额相较10日前增加 &gt; 5%（中短期资金看好）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4AB3AE"/>
        </w:tc>
      </w:tr>
      <w:tr w14:paraId="7E3862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D41C20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A.5 当日验证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96AC12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集合竞价高开幅度 &lt;5% 且竞价成交量高于过去10日均值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43380F"/>
        </w:tc>
      </w:tr>
      <w:tr w14:paraId="7ADB80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630BD5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29FD25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当日开盘关注（封板竞价 资金驱动力 资金博弈 主力净比 主买净额）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AC676B"/>
        </w:tc>
      </w:tr>
      <w:tr w14:paraId="4E7163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323132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E8C167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盘口：外盘大于内盘一倍以上 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345D03"/>
        </w:tc>
      </w:tr>
      <w:tr w14:paraId="78353C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50C16F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0D3705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分时走势中，开盘30分钟内回踩均线承接良好，再放量上攻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10622A"/>
        </w:tc>
      </w:tr>
      <w:tr w14:paraId="4981E4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ADBE73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B. 买入规则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B42465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技术形态面，资金方向，盘面资金 三者配合确定买入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E5611A"/>
        </w:tc>
      </w:tr>
      <w:tr w14:paraId="2B9E27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D525FE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8097D0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分批建仓，首次买入≤30%总资金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235D6D"/>
        </w:tc>
      </w:tr>
      <w:tr w14:paraId="507725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7428DD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D1490D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超短策略：资金面与板块共振时可全仓，但需设止损位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1FBDE1"/>
        </w:tc>
      </w:tr>
      <w:tr w14:paraId="50F30A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6937DB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B40D40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止损：收盘价跌破5日线或跌幅≥5%立即离场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E27A94"/>
        </w:tc>
      </w:tr>
      <w:tr w14:paraId="616E11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715989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B. 卖出规则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D55167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短线：3日不创新高或放量长上影线→减仓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9A3B26"/>
        </w:tc>
      </w:tr>
      <w:tr w14:paraId="731483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4E150F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9EE083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中线：跌破20日线→止盈出局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0B75E9"/>
        </w:tc>
      </w:tr>
      <w:tr w14:paraId="5BD17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B8F71F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4BB95E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游资席位次日大幅卖出→次日冲高减仓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8A19D2"/>
        </w:tc>
      </w:tr>
      <w:tr w14:paraId="2C2A69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6B471E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C. 组合持仓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6C7035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同一板块不超过总仓位的50%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AFF8CF"/>
        </w:tc>
      </w:tr>
      <w:tr w14:paraId="6BC3D1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5ABDFA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62F331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单股仓位 ≤ 30%，避免黑天鹅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32A243"/>
        </w:tc>
      </w:tr>
      <w:tr w14:paraId="132C93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1B2676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C. 市场情绪调节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1A5CCC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情绪极端高涨时（两市涨停家数 &gt; 100 且连续2日），减低仓位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684D64"/>
        </w:tc>
      </w:tr>
      <w:tr w14:paraId="73DFB4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6A4BFA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D912B5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情绪极端低迷时（两市跌停家数 &gt; 50 且连续3日），不追空，寻找反弹标的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56CCB5"/>
        </w:tc>
      </w:tr>
      <w:tr w14:paraId="290776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B86283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C. 回测验证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17A879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用3年以上的历史数据回测筛选条件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63F4E2"/>
        </w:tc>
      </w:tr>
      <w:tr w14:paraId="7A1441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31C1E2"/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7C127D">
            <w:pPr>
              <w:jc w:val="left"/>
              <w:rPr>
                <w:rFonts w:hint="eastAsia" w:ascii="宋体" w:hAnsi="宋体" w:eastAsia="宋体" w:cs="宋体"/>
                <w:sz w:val="21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确保年化收益 &gt; 20%，最大回撤 &lt;15% 才上线实盘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C65B1B"/>
        </w:tc>
      </w:tr>
    </w:tbl>
    <w:p w14:paraId="0EA0B6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9A5B4FC">
      <w:pPr>
        <w:keepNext w:val="0"/>
        <w:keepLines w:val="0"/>
        <w:widowControl/>
        <w:suppressLineNumbers w:val="0"/>
      </w:pPr>
    </w:p>
    <w:p w14:paraId="6012EB17">
      <w:pPr>
        <w:pStyle w:val="5"/>
        <w:keepNext w:val="0"/>
        <w:keepLines w:val="0"/>
        <w:widowControl/>
        <w:suppressLineNumbers w:val="0"/>
      </w:pPr>
    </w:p>
    <w:p w14:paraId="6D1F9BAF">
      <w:pPr>
        <w:pStyle w:val="2"/>
        <w:keepNext w:val="0"/>
        <w:keepLines w:val="0"/>
        <w:widowControl/>
        <w:suppressLineNumbers w:val="0"/>
        <w:outlineLvl w:val="1"/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实战案例参考</w:t>
      </w:r>
    </w:p>
    <w:p w14:paraId="5DC970BD">
      <w:pPr>
        <w:pStyle w:val="5"/>
        <w:keepNext w:val="0"/>
        <w:keepLines w:val="0"/>
        <w:widowControl/>
        <w:suppressLineNumbers w:val="0"/>
        <w:ind w:left="0" w:leftChars="0" w:right="0" w:rightChars="0"/>
      </w:pPr>
      <w:r>
        <w:rPr>
          <w:rFonts w:ascii="Times New Roman" w:hAnsi="Times New Roman" w:eastAsia="宋体" w:cs="Times New Roman"/>
          <w:b/>
          <w:kern w:val="0"/>
          <w:sz w:val="24"/>
          <w:szCs w:val="22"/>
          <w:lang w:val="en-US" w:eastAsia="zh-CN" w:bidi="ar"/>
        </w:rPr>
        <w:t>1. 行业龙头策略</w:t>
      </w:r>
    </w:p>
    <w:p w14:paraId="721675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核心逻辑：选择各行业龙头企业，如白酒板块的茅台、家电板块的美的，依托其市场主导地位和稳定盈利能力降低风险。操作步骤：筛选市值排名行业前3、连续5年ROE≥15%的公司，分散配置5-6只个股长期持有。</w:t>
      </w:r>
    </w:p>
    <w:p w14:paraId="36C5CD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风险提示：需警惕行业政策变化（如反垄断）对龙头溢价的影响。</w:t>
      </w:r>
    </w:p>
    <w:p w14:paraId="0D111E51">
      <w:pPr>
        <w:pStyle w:val="5"/>
        <w:keepNext w:val="0"/>
        <w:keepLines w:val="0"/>
        <w:widowControl/>
        <w:suppressLineNumbers w:val="0"/>
        <w:ind w:left="0" w:leftChars="0" w:right="0" w:rightChars="0"/>
      </w:pPr>
      <w:r>
        <w:rPr>
          <w:rFonts w:ascii="Times New Roman" w:hAnsi="Times New Roman" w:eastAsia="宋体" w:cs="Times New Roman"/>
          <w:b/>
          <w:kern w:val="0"/>
          <w:sz w:val="24"/>
          <w:szCs w:val="22"/>
          <w:lang w:val="en-US" w:eastAsia="zh-CN" w:bidi="ar"/>
        </w:rPr>
        <w:t>2. 成交量捕捉龙头股</w:t>
      </w:r>
    </w:p>
    <w:p w14:paraId="0CCD26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leftChars="0" w:hanging="360" w:firstLineChars="0"/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海选阶段：消费板块精选2-3只国资控股、低位布局的股票，排除机构重仓标的；观察阶段：当日量比&gt;1.5时试错建仓；持仓管理：留强去弱，对龙头股进行T+0操作降低成本；卖出阶段：分批止盈，题材退潮时果断离场。</w:t>
      </w:r>
    </w:p>
    <w:p w14:paraId="64196C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leftChars="0" w:hanging="360" w:firstLineChars="0"/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案例标的：四川长虹（2023年消费电子题材中，量比异动后5个交易日涨幅达40%）。</w:t>
      </w:r>
    </w:p>
    <w:p w14:paraId="7CED9FD2">
      <w:pPr>
        <w:pStyle w:val="5"/>
        <w:keepNext w:val="0"/>
        <w:keepLines w:val="0"/>
        <w:widowControl/>
        <w:suppressLineNumbers w:val="0"/>
        <w:ind w:left="0" w:leftChars="0" w:right="0" w:rightChars="0"/>
      </w:pPr>
      <w:r>
        <w:rPr>
          <w:rFonts w:ascii="Times New Roman" w:hAnsi="Times New Roman" w:eastAsia="宋体" w:cs="Times New Roman"/>
          <w:b/>
          <w:kern w:val="0"/>
          <w:sz w:val="24"/>
          <w:szCs w:val="22"/>
          <w:lang w:val="en-US" w:eastAsia="zh-CN" w:bidi="ar"/>
        </w:rPr>
        <w:t>3. 业绩增长+估值安全策略</w:t>
      </w:r>
    </w:p>
    <w:p w14:paraId="08C6E1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筛选连续3年营收增速&gt;15%、扣非净利润增速&gt;20%，且市盈率低于行业均值的个股。如某医药股2024年Q1财报显示净利润增长28%，PE仅25倍，符合条件后2个月上涨35%。</w:t>
      </w:r>
    </w:p>
    <w:p w14:paraId="0607C322">
      <w:pPr>
        <w:pStyle w:val="5"/>
        <w:keepNext w:val="0"/>
        <w:keepLines w:val="0"/>
        <w:widowControl/>
        <w:suppressLineNumbers w:val="0"/>
      </w:pPr>
      <w:r>
        <w:rPr>
          <w:rFonts w:hint="eastAsia" w:ascii="Times New Roman" w:hAnsi="Times New Roman" w:eastAsia="宋体" w:cs="Times New Roman"/>
          <w:sz w:val="21"/>
          <w:szCs w:val="22"/>
          <w:lang w:val="en-US" w:eastAsia="zh-CN"/>
        </w:rPr>
        <w:t>关键点：结合季度财报披露节点布局，避免业绩“暴雷”风险。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CBA6B53"/>
    <w:multiLevelType w:val="multilevel"/>
    <w:tmpl w:val="DCBA6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4B5D9F5"/>
    <w:multiLevelType w:val="multilevel"/>
    <w:tmpl w:val="F4B5D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470EC97"/>
    <w:multiLevelType w:val="multilevel"/>
    <w:tmpl w:val="2470EC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D4DC07F"/>
    <w:multiLevelType w:val="multilevel"/>
    <w:tmpl w:val="4D4DC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1"/>
  </w:num>
  <w:num w:numId="5">
    <w:abstractNumId w:val="14"/>
  </w:num>
  <w:num w:numId="6">
    <w:abstractNumId w:val="3"/>
  </w:num>
  <w:num w:numId="7">
    <w:abstractNumId w:val="12"/>
  </w:num>
  <w:num w:numId="8">
    <w:abstractNumId w:val="6"/>
  </w:num>
  <w:num w:numId="9">
    <w:abstractNumId w:val="9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13"/>
  </w:num>
  <w:num w:numId="13">
    <w:abstractNumId w:val="2"/>
  </w:num>
  <w:num w:numId="14">
    <w:abstractNumId w:val="1"/>
  </w:num>
  <w:num w:numId="15">
    <w:abstractNumId w:val="8"/>
  </w:num>
  <w:num w:numId="16">
    <w:abstractNumId w:val="10"/>
  </w:num>
  <w:num w:numId="17">
    <w:abstractNumId w:val="15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C672F"/>
    <w:rsid w:val="10D3516F"/>
    <w:rsid w:val="2151102E"/>
    <w:rsid w:val="7D0F30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2531</Words>
  <Characters>2660</Characters>
  <TotalTime>105</TotalTime>
  <ScaleCrop>false</ScaleCrop>
  <LinksUpToDate>false</LinksUpToDate>
  <CharactersWithSpaces>2771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2025-09-05T09:50:00Z</dcterms:created>
  <dc:creator>MI</dc:creator>
  <cp:lastModifiedBy>WPS_1739440161</cp:lastModifiedBy>
  <dcterms:modified xsi:type="dcterms:W3CDTF">2026-03-28T14:58:18Z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eyJoZGlkIjoiMGQwNTg0MWFlNWViYmI1NDQxYTQ3MTI1YmVhZjdmNTEiLCJ1c2VySWQiOiIxNjc5NTk5OTgyIn0=</vt:lpwstr>
  </property>
  <property fmtid="{D5CDD505-2E9C-101B-9397-08002B2CF9AE}" pid="3" name="KSOProductBuildVer">
    <vt:lpwstr>2052-12.1.0.21915</vt:lpwstr>
  </property>
  <property fmtid="{D5CDD505-2E9C-101B-9397-08002B2CF9AE}" pid="4" name="ICV">
    <vt:lpwstr>13DD80FF7F7F4B86B1B75EFEB5EC5897_13</vt:lpwstr>
  </property>
</Properties>
</file>