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6"/>
        </w:rPr>
        <w:t>RAG 混合检索策略：数学公式与方法综述</w:t>
      </w:r>
    </w:p>
    <w:p>
      <w:pPr>
        <w:jc w:val="center"/>
      </w:pPr>
      <w:r>
        <w:rPr>
          <w:i/>
          <w:color w:val="444444"/>
          <w:sz w:val="24"/>
        </w:rPr>
        <w:t>Hybrid Retrieval Strategy in Retrieval-Augmented Generation</w:t>
      </w:r>
    </w:p>
    <w:p/>
    <w:p>
      <w:pPr>
        <w:pStyle w:val="Heading1"/>
      </w:pPr>
      <w:r>
        <w:t>概述</w:t>
      </w:r>
    </w:p>
    <w:p>
      <w:pPr>
        <w:spacing w:after="80"/>
      </w:pPr>
      <w:r>
        <w:rPr>
          <w:sz w:val="22"/>
        </w:rPr>
        <w:t>RAG（Retrieval-Augmented Generation）混合检索策略通过融合密集检索（Dense Retrieval）与稀疏检索（Sparse Retrieval）的互补优势，有效提升文档召回率与语义匹配精度。密集检索依赖双塔神经网络将查询与文档编码为向量，捕捉深层语义；稀疏检索（如 BM25）则基于词频统计，擅长精确关键词匹配。二者融合的主流方法可分为以下三类范式。</w:t>
      </w:r>
    </w:p>
    <w:p/>
    <w:p>
      <w:pPr>
        <w:pBdr>
          <w:bottom w:val="single" w:sz="4" w:space="1" w:color="AAAAAA"/>
        </w:pBdr>
        <w:spacing w:before="160" w:after="160"/>
      </w:pPr>
    </w:p>
    <w:p>
      <w:pPr>
        <w:pStyle w:val="Heading1"/>
      </w:pPr>
      <w:r>
        <w:t>一、加权线性融合（Weighted Hybrid Score）</w:t>
      </w:r>
    </w:p>
    <w:p>
      <w:r>
        <w:rPr>
          <w:i/>
          <w:color w:val="555555"/>
          <w:sz w:val="21"/>
        </w:rPr>
        <w:t>代表论文：Ma et al., arXiv:2310.08319 (2023)；Luan et al., TACL 2021</w:t>
      </w:r>
    </w:p>
    <w:p/>
    <w:p>
      <w:pPr>
        <w:spacing w:after="40"/>
      </w:pPr>
      <w:r>
        <w:rPr>
          <w:b/>
          <w:sz w:val="22"/>
        </w:rPr>
        <w:t>▌ 综合得分公式</w:t>
      </w:r>
    </w:p>
    <w:p>
      <w:pPr>
        <w:spacing w:before="120" w:after="120"/>
        <w:jc w:val="center"/>
      </w:pPr>
      <m:oMathPara>
        <m:oMath>
          <m:sSub>
            <m:sSubPr>
              <m:ctrlPr/>
            </m:sSubPr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hybrid</m:t>
              </m:r>
            </m:sub>
          </m:sSub>
          <m:r>
            <m:t xml:space="preserve">(q, d) = α ⋅ </m:t>
          </m:r>
          <m:sSub>
            <m:sSubPr>
              <m:ctrlPr/>
            </m:sSubPr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dense</m:t>
              </m:r>
            </m:sub>
          </m:sSub>
          <m:r>
            <m:t xml:space="preserve">(q, d) + (1 − α) ⋅ </m:t>
          </m:r>
          <m:sSub>
            <m:sSubPr>
              <m:ctrlPr/>
            </m:sSubPr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sparse</m:t>
              </m:r>
            </m:sub>
          </m:sSub>
          <m:r>
            <m:t>(q, d)</m:t>
          </m:r>
        </m:oMath>
      </m:oMathPara>
    </w:p>
    <w:p>
      <w:pPr>
        <w:jc w:val="right"/>
      </w:pPr>
      <w:r>
        <w:rPr>
          <w:color w:val="666666"/>
          <w:sz w:val="21"/>
        </w:rPr>
        <w:t>（式 1）</w:t>
      </w:r>
    </w:p>
    <w:p>
      <w:pPr>
        <w:spacing w:after="80"/>
      </w:pPr>
      <w:r>
        <w:rPr>
          <w:sz w:val="22"/>
        </w:rPr>
        <w:t>其中 α ∈ [0, 1] 为可调权重，控制语义检索与词法检索的相对贡献；两路得分在融合前需各自归一化至 [0, 1]（通常采用 min-max 归一化或 softmax）。</w:t>
      </w:r>
    </w:p>
    <w:p/>
    <w:p>
      <w:pPr>
        <w:spacing w:after="40"/>
      </w:pPr>
      <w:r>
        <w:rPr>
          <w:b/>
          <w:sz w:val="22"/>
        </w:rPr>
        <w:t>▌ 密集检索得分（余弦相似度）</w:t>
      </w:r>
    </w:p>
    <w:p>
      <w:pPr>
        <w:spacing w:before="120" w:after="120"/>
        <w:jc w:val="center"/>
      </w:pPr>
      <m:oMathPara>
        <m:oMath>
          <m:sSub>
            <m:sSubPr>
              <m:ctrlPr/>
            </m:sSubPr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dense</m:t>
              </m:r>
            </m:sub>
          </m:sSub>
          <m:r>
            <m:t xml:space="preserve">(q, d) = </m:t>
          </m:r>
          <m:f>
            <m:fPr>
              <m:ctrlPr/>
            </m:fPr>
            <m:num>
              <m:sSub>
                <m:sSubPr>
                  <m:ctrlPr/>
                </m:sSubPr>
                <m:e>
                  <m:r>
                    <m:rPr>
                      <m:sty m:val="i"/>
                    </m:rPr>
                    <m:t>e</m:t>
                  </m:r>
                </m:e>
                <m:sub>
                  <m:r>
                    <m:rPr>
                      <m:sty m:val="i"/>
                    </m:rPr>
                    <m:t>q</m:t>
                  </m:r>
                </m:sub>
              </m:sSub>
              <m:r>
                <m:t xml:space="preserve"> ⋅ </m:t>
              </m:r>
              <m:sSub>
                <m:sSubPr>
                  <m:ctrlPr/>
                </m:sSubPr>
                <m:e>
                  <m:r>
                    <m:rPr>
                      <m:sty m:val="i"/>
                    </m:rPr>
                    <m:t>e</m:t>
                  </m:r>
                </m:e>
                <m:sub>
                  <m:r>
                    <m:rPr>
                      <m:sty m:val="i"/>
                    </m:rPr>
                    <m:t>d</m:t>
                  </m:r>
                </m:sub>
              </m:sSub>
            </m:num>
            <m:den>
              <m:r>
                <m:t>‖</m:t>
              </m:r>
              <m:sSub>
                <m:sSubPr>
                  <m:ctrlPr/>
                </m:sSubPr>
                <m:e>
                  <m:r>
                    <m:rPr>
                      <m:sty m:val="i"/>
                    </m:rPr>
                    <m:t>e</m:t>
                  </m:r>
                </m:e>
                <m:sub>
                  <m:r>
                    <m:rPr>
                      <m:sty m:val="i"/>
                    </m:rPr>
                    <m:t>q</m:t>
                  </m:r>
                </m:sub>
              </m:sSub>
              <m:r>
                <m:t xml:space="preserve">‖ ⋅ ‖</m:t>
              </m:r>
              <m:sSub>
                <m:sSubPr>
                  <m:ctrlPr/>
                </m:sSubPr>
                <m:e>
                  <m:r>
                    <m:rPr>
                      <m:sty m:val="i"/>
                    </m:rPr>
                    <m:t>e</m:t>
                  </m:r>
                </m:e>
                <m:sub>
                  <m:r>
                    <m:rPr>
                      <m:sty m:val="i"/>
                    </m:rPr>
                    <m:t>d</m:t>
                  </m:r>
                </m:sub>
              </m:sSub>
              <m:r>
                <m:t>‖</m:t>
              </m:r>
            </m:den>
          </m:f>
        </m:oMath>
      </m:oMathPara>
    </w:p>
    <w:p>
      <w:pPr>
        <w:jc w:val="right"/>
      </w:pPr>
      <w:r>
        <w:rPr>
          <w:color w:val="666666"/>
          <w:sz w:val="21"/>
        </w:rPr>
        <w:t>（式 2）</w:t>
      </w:r>
    </w:p>
    <w:p>
      <w:pPr>
        <w:spacing w:after="80"/>
      </w:pPr>
      <w:r>
        <w:rPr>
          <w:sz w:val="22"/>
        </w:rPr>
        <w:t>eₓ 为查询 q 或文档 d 经双塔编码器（如 BERT、BGE）生成的稠密向量表示；‖·‖ 表示 L2 范数。</w:t>
      </w:r>
    </w:p>
    <w:p/>
    <w:p>
      <w:pPr>
        <w:spacing w:after="40"/>
      </w:pPr>
      <w:r>
        <w:rPr>
          <w:b/>
          <w:sz w:val="22"/>
        </w:rPr>
        <w:t>▌ 稀疏检索得分（BM25）</w:t>
      </w:r>
    </w:p>
    <w:p>
      <w:pPr>
        <w:spacing w:before="120" w:after="120"/>
        <w:jc w:val="center"/>
      </w:pPr>
      <m:oMathPara>
        <m:oMath>
          <m:r>
            <m:rPr>
              <m:sty m:val="p"/>
            </m:rPr>
            <m:t xml:space="preserve">BM25(q, d) = </m:t>
          </m:r>
          <m:nary>
            <m:naryPr>
              <m:chr m:val="∑"/>
              <m:limLoc m:val="undOvr"/>
              <m:subHide m:val="0"/>
              <m:supHide m:val="1"/>
              <m:ctrlPr/>
            </m:naryPr>
            <m:sub>
              <m:r>
                <m:rPr>
                  <m:sty m:val="i"/>
                </m:rPr>
                <m:t xml:space="preserve">t ∈ q</m:t>
              </m:r>
            </m:sub>
            <m:sup>
              <m:r>
                <m:t/>
              </m:r>
            </m:sup>
            <m:e>
              <m:r>
                <m:rPr>
                  <m:sty m:val="p"/>
                </m:rPr>
                <m:t xml:space="preserve">IDF(t) ⋅ </m:t>
              </m:r>
              <m:f>
                <m:fPr>
                  <m:ctrlPr/>
                </m:fPr>
                <m:num>
                  <m:r>
                    <m:rPr>
                      <m:sty m:val="i"/>
                    </m:rPr>
                    <m:t xml:space="preserve">f (t, d) ⋅ (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i"/>
                    </m:rPr>
                    <m:t xml:space="preserve"> + 1)</m:t>
                  </m:r>
                </m:num>
                <m:den>
                  <m:r>
                    <m:rPr>
                      <m:sty m:val="i"/>
                    </m:rPr>
                    <m:t xml:space="preserve">f (t, d) + 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i"/>
                    </m:rPr>
                    <m:t xml:space="preserve"> ⋅ (1 − b + b ⋅ </m:t>
                  </m:r>
                  <m:f>
                    <m:fPr>
                      <m:ctrlPr/>
                    </m:fPr>
                    <m:num>
                      <m:r>
                        <m:rPr>
                          <m:sty m:val="i"/>
                        </m:rPr>
                        <m:t>|d|</m:t>
                      </m:r>
                    </m:num>
                    <m:den>
                      <m:r>
                        <m:rPr>
                          <m:sty m:val="p"/>
                        </m:rPr>
                        <m:t>avgdl</m:t>
                      </m:r>
                    </m:den>
                  </m:f>
                  <m:r>
                    <m:rPr>
                      <m:sty m:val="i"/>
                    </m:rPr>
                    <m:t>)</m:t>
                  </m:r>
                </m:den>
              </m:f>
            </m:e>
          </m:nary>
        </m:oMath>
      </m:oMathPara>
    </w:p>
    <w:p>
      <w:pPr>
        <w:jc w:val="right"/>
      </w:pPr>
      <w:r>
        <w:rPr>
          <w:color w:val="666666"/>
          <w:sz w:val="21"/>
        </w:rPr>
        <w:t>（式 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sz w:val="20"/>
              </w:rPr>
              <w:t>参数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含义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f(t, d)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词项 t 在文档 d 中的词频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IDF(t)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词项 t 的逆文档频率：log((N−n(t)+0.5)/(n(t)+0.5))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|d|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文档 d 的词数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avgdl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语料库平均文档词数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k₁, b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超参数，通常取 k₁ = 1.5，b = 0.75</w:t>
            </w:r>
          </w:p>
        </w:tc>
      </w:tr>
    </w:tbl>
    <w:p/>
    <w:p>
      <w:pPr>
        <w:pBdr>
          <w:bottom w:val="single" w:sz="4" w:space="1" w:color="AAAAAA"/>
        </w:pBdr>
        <w:spacing w:before="160" w:after="160"/>
      </w:pPr>
    </w:p>
    <w:p>
      <w:pPr>
        <w:pStyle w:val="Heading1"/>
      </w:pPr>
      <w:r>
        <w:t>二、倒数排名融合（Reciprocal Rank Fusion，RRF）</w:t>
      </w:r>
    </w:p>
    <w:p>
      <w:r>
        <w:rPr>
          <w:i/>
          <w:color w:val="555555"/>
          <w:sz w:val="21"/>
        </w:rPr>
        <w:t>代表论文：Cormack et al., SIGIR 2009；Rackauckas, arXiv:2402.03367 (2024)</w:t>
      </w:r>
    </w:p>
    <w:p/>
    <w:p>
      <w:pPr>
        <w:spacing w:after="40"/>
      </w:pPr>
      <w:r>
        <w:rPr>
          <w:b/>
          <w:sz w:val="22"/>
        </w:rPr>
        <w:t>▌ 公式</w:t>
      </w:r>
    </w:p>
    <w:p>
      <w:pPr>
        <w:spacing w:before="120" w:after="120"/>
        <w:jc w:val="center"/>
      </w:pPr>
      <m:oMathPara>
        <m:oMath>
          <m:r>
            <m:rPr>
              <m:sty m:val="p"/>
            </m:rPr>
            <m:t xml:space="preserve">RRF(d) = </m:t>
          </m:r>
          <m:nary>
            <m:naryPr>
              <m:chr m:val="∑"/>
              <m:limLoc m:val="undOvr"/>
              <m:subHide m:val="0"/>
              <m:supHide m:val="0"/>
              <m:ctrlPr/>
            </m:naryPr>
            <m:sub>
              <m:r>
                <m:rPr>
                  <m:sty m:val="i"/>
                </m:rPr>
                <m:t xml:space="preserve">i = 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f>
                <m:fPr>
                  <m:ctrlPr/>
                </m:fPr>
                <m:num>
                  <m:r>
                    <m:t>1</m:t>
                  </m:r>
                </m:num>
                <m:den>
                  <m:r>
                    <m:rPr>
                      <m:sty m:val="i"/>
                    </m:rPr>
                    <m:t xml:space="preserve">k + 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m:rPr>
                          <m:sty m:val="i"/>
                        </m:rPr>
                        <m:t>i</m:t>
                      </m:r>
                    </m:sub>
                  </m:sSub>
                  <m:r>
                    <m:rPr>
                      <m:sty m:val="i"/>
                    </m:rPr>
                    <m:t>(d)</m:t>
                  </m:r>
                </m:den>
              </m:f>
            </m:e>
          </m:nary>
        </m:oMath>
      </m:oMathPara>
    </w:p>
    <w:p>
      <w:pPr>
        <w:jc w:val="right"/>
      </w:pPr>
      <w:r>
        <w:rPr>
          <w:color w:val="666666"/>
          <w:sz w:val="21"/>
        </w:rPr>
        <w:t>（式 4）</w:t>
      </w:r>
    </w:p>
    <w:p>
      <w:pPr>
        <w:spacing w:after="80"/>
      </w:pPr>
      <w:r>
        <w:rPr>
          <w:sz w:val="22"/>
        </w:rPr>
        <w:t>其中 N 为参与融合的检索器数量（如密集检索 + BM25 取 N = 2）；rᵢ(d) 为文档 d 在第 i 个检索器排名列表中的位次（从 1 开始）；k 为平滑常数，经验取值 k = 60，用于抑制头部排名权重过度集中。</w:t>
      </w:r>
    </w:p>
    <w:p/>
    <w:p>
      <w:pPr>
        <w:spacing w:after="40"/>
      </w:pPr>
      <w:r>
        <w:rPr>
          <w:b/>
          <w:sz w:val="22"/>
        </w:rPr>
        <w:t>▌ 方法优势</w:t>
      </w:r>
    </w:p>
    <w:p>
      <w:pPr>
        <w:pStyle w:val="ListBullet"/>
      </w:pPr>
      <w:r>
        <w:rPr>
          <w:sz w:val="22"/>
        </w:rPr>
        <w:t>无需对不同检索系统的原始得分进行归一化处理，鲁棒性强；</w:t>
      </w:r>
    </w:p>
    <w:p>
      <w:pPr>
        <w:pStyle w:val="ListBullet"/>
      </w:pPr>
      <w:r>
        <w:rPr>
          <w:sz w:val="22"/>
        </w:rPr>
        <w:t>排名越靠前的文档权重越高，对噪声排名不敏感；</w:t>
      </w:r>
    </w:p>
    <w:p>
      <w:pPr>
        <w:pStyle w:val="ListBullet"/>
      </w:pPr>
      <w:r>
        <w:rPr>
          <w:sz w:val="22"/>
        </w:rPr>
        <w:t>实证表明在多数信息检索任务上优于直接得分加权融合（Cormack, 2009）；</w:t>
      </w:r>
    </w:p>
    <w:p>
      <w:pPr>
        <w:pStyle w:val="ListBullet"/>
      </w:pPr>
      <w:r>
        <w:rPr>
          <w:sz w:val="22"/>
        </w:rPr>
        <w:t>RAG-Fusion（2024）将 RRF 与多路查询改写（Query Rewriting）结合，进一步提升召回多样性。</w:t>
      </w:r>
    </w:p>
    <w:p/>
    <w:p>
      <w:pPr>
        <w:pBdr>
          <w:bottom w:val="single" w:sz="4" w:space="1" w:color="AAAAAA"/>
        </w:pBdr>
        <w:spacing w:before="160" w:after="160"/>
      </w:pPr>
    </w:p>
    <w:p>
      <w:pPr>
        <w:pStyle w:val="Heading1"/>
      </w:pPr>
      <w:r>
        <w:t>三、动态自适应融合（Query-Adaptive Fusion）</w:t>
      </w:r>
    </w:p>
    <w:p>
      <w:r>
        <w:rPr>
          <w:i/>
          <w:color w:val="555555"/>
          <w:sz w:val="21"/>
        </w:rPr>
        <w:t>代表论文：Sarthi et al., ICLR 2024（RAPTOR）；Edge et al., arXiv:2404.16130 (2024)（GraphRAG, Microsoft）</w:t>
      </w:r>
    </w:p>
    <w:p/>
    <w:p>
      <w:pPr>
        <w:spacing w:after="40"/>
      </w:pPr>
      <w:r>
        <w:rPr>
          <w:b/>
          <w:sz w:val="22"/>
        </w:rPr>
        <w:t>▌ 公式</w:t>
      </w:r>
    </w:p>
    <w:p>
      <w:pPr>
        <w:spacing w:before="120" w:after="120"/>
        <w:jc w:val="center"/>
      </w:pPr>
      <m:oMathPara>
        <m:oMath>
          <m:sSub>
            <m:sSubPr>
              <m:ctrlPr/>
            </m:sSubPr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hybrid</m:t>
              </m:r>
            </m:sub>
          </m:sSub>
          <m:r>
            <m:t xml:space="preserve"> = α(q) ⋅ </m:t>
          </m:r>
          <m:sSub>
            <m:sSubPr>
              <m:ctrlPr/>
            </m:sSubPr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dense</m:t>
              </m:r>
            </m:sub>
          </m:sSub>
          <m:r>
            <m:t xml:space="preserve"> + β(q) ⋅ </m:t>
          </m:r>
          <m:sSub>
            <m:sSubPr>
              <m:ctrlPr/>
            </m:sSubPr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sparse</m:t>
              </m:r>
            </m:sub>
          </m:sSub>
          <m:r>
            <m:t xml:space="preserve"> + γ(q) ⋅ </m:t>
          </m:r>
          <m:sSub>
            <m:sSubPr>
              <m:ctrlPr/>
            </m:sSubPr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graph</m:t>
              </m:r>
            </m:sub>
          </m:sSub>
        </m:oMath>
      </m:oMathPara>
    </w:p>
    <w:p>
      <w:pPr>
        <w:spacing w:before="120" w:after="120"/>
        <w:jc w:val="center"/>
      </w:pPr>
      <m:oMathPara>
        <m:oMath>
          <m:r>
            <m:t xml:space="preserve">s.t.  α(q) + β(q) + γ(q) = 1,  α,β,γ ≥ 0</m:t>
          </m:r>
        </m:oMath>
      </m:oMathPara>
    </w:p>
    <w:p>
      <w:pPr>
        <w:jc w:val="right"/>
      </w:pPr>
      <w:r>
        <w:rPr>
          <w:color w:val="666666"/>
          <w:sz w:val="21"/>
        </w:rPr>
        <w:t>（式 5）</w:t>
      </w:r>
    </w:p>
    <w:p>
      <w:pPr>
        <w:spacing w:after="80"/>
      </w:pPr>
      <w:r>
        <w:rPr>
          <w:sz w:val="22"/>
        </w:rPr>
        <w:t>α(q)、β(q)、γ(q) 由查询路由器（Query Router）根据查询类型动态预测，满足三者之和为 1 的归一化约束。sₐᵣₐₚₕ 为图检索得分，由知识图谱（KG）或文档层次结构中的图游走算法计算得出，适用于需要多跳推理的复杂查询场景（如 GraphRAG）。</w:t>
      </w:r>
    </w:p>
    <w:p/>
    <w:p>
      <w:pPr>
        <w:spacing w:after="40"/>
      </w:pPr>
      <w:r>
        <w:rPr>
          <w:b/>
          <w:sz w:val="22"/>
        </w:rPr>
        <w:t>▌ 查询路由器实现方式</w:t>
      </w:r>
    </w:p>
    <w:p>
      <w:pPr>
        <w:pStyle w:val="ListBullet"/>
      </w:pPr>
      <w:r>
        <w:rPr>
          <w:sz w:val="22"/>
        </w:rPr>
        <w:t>基于规则：关键词密度高 → 提升 β（BM25 权重）；语义模糊 → 提升 α（Dense 权重）；</w:t>
      </w:r>
    </w:p>
    <w:p>
      <w:pPr>
        <w:pStyle w:val="ListBullet"/>
      </w:pPr>
      <w:r>
        <w:rPr>
          <w:sz w:val="22"/>
        </w:rPr>
        <w:t>基于分类器：轻量 BERT 分类器预测查询类型标签，映射至权重组合；</w:t>
      </w:r>
    </w:p>
    <w:p>
      <w:pPr>
        <w:pStyle w:val="ListBullet"/>
      </w:pPr>
      <w:r>
        <w:rPr>
          <w:sz w:val="22"/>
        </w:rPr>
        <w:t>基于 LLM：由大模型直接输出结构化权重向量（适用于 Agent 场景）。</w:t>
      </w:r>
    </w:p>
    <w:p/>
    <w:p>
      <w:pPr>
        <w:pBdr>
          <w:bottom w:val="single" w:sz="4" w:space="1" w:color="AAAAAA"/>
        </w:pBdr>
        <w:spacing w:before="160" w:after="160"/>
      </w:pPr>
    </w:p>
    <w:p>
      <w:pPr>
        <w:pStyle w:val="Heading1"/>
      </w:pPr>
      <w:r>
        <w:t>四、三种方案对比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21"/>
              </w:rPr>
              <w:t>对比维度</w:t>
            </w:r>
          </w:p>
        </w:tc>
        <w:tc>
          <w:tcPr>
            <w:tcW w:type="dxa" w:w="2161"/>
          </w:tcPr>
          <w:p>
            <w:r>
              <w:rPr>
                <w:b/>
                <w:sz w:val="21"/>
              </w:rPr>
              <w:t>加权线性融合</w:t>
            </w:r>
          </w:p>
        </w:tc>
        <w:tc>
          <w:tcPr>
            <w:tcW w:type="dxa" w:w="2161"/>
          </w:tcPr>
          <w:p>
            <w:r>
              <w:rPr>
                <w:b/>
                <w:sz w:val="21"/>
              </w:rPr>
              <w:t>RRF（式 4）</w:t>
            </w:r>
          </w:p>
        </w:tc>
        <w:tc>
          <w:tcPr>
            <w:tcW w:type="dxa" w:w="2161"/>
          </w:tcPr>
          <w:p>
            <w:r>
              <w:rPr>
                <w:b/>
                <w:sz w:val="21"/>
              </w:rPr>
              <w:t>动态自适应融合</w:t>
            </w:r>
          </w:p>
        </w:tc>
      </w:tr>
      <w:tr>
        <w:tc>
          <w:tcPr>
            <w:tcW w:type="dxa" w:w="2161"/>
          </w:tcPr>
          <w:p>
            <w:r>
              <w:rPr>
                <w:sz w:val="21"/>
              </w:rPr>
              <w:t>归一化要求</w:t>
            </w:r>
          </w:p>
        </w:tc>
        <w:tc>
          <w:tcPr>
            <w:tcW w:type="dxa" w:w="2161"/>
          </w:tcPr>
          <w:p>
            <w:r>
              <w:rPr>
                <w:sz w:val="21"/>
              </w:rPr>
              <w:t>需要</w:t>
            </w:r>
          </w:p>
        </w:tc>
        <w:tc>
          <w:tcPr>
            <w:tcW w:type="dxa" w:w="2161"/>
          </w:tcPr>
          <w:p>
            <w:r>
              <w:rPr>
                <w:sz w:val="21"/>
              </w:rPr>
              <w:t>不需要</w:t>
            </w:r>
          </w:p>
        </w:tc>
        <w:tc>
          <w:tcPr>
            <w:tcW w:type="dxa" w:w="2161"/>
          </w:tcPr>
          <w:p>
            <w:r>
              <w:rPr>
                <w:sz w:val="21"/>
              </w:rPr>
              <w:t>需要</w:t>
            </w:r>
          </w:p>
        </w:tc>
      </w:tr>
      <w:tr>
        <w:tc>
          <w:tcPr>
            <w:tcW w:type="dxa" w:w="2161"/>
          </w:tcPr>
          <w:p>
            <w:r>
              <w:rPr>
                <w:sz w:val="21"/>
              </w:rPr>
              <w:t>超参数数量</w:t>
            </w:r>
          </w:p>
        </w:tc>
        <w:tc>
          <w:tcPr>
            <w:tcW w:type="dxa" w:w="2161"/>
          </w:tcPr>
          <w:p>
            <w:r>
              <w:rPr>
                <w:sz w:val="21"/>
              </w:rPr>
              <w:t>1（α）</w:t>
            </w:r>
          </w:p>
        </w:tc>
        <w:tc>
          <w:tcPr>
            <w:tcW w:type="dxa" w:w="2161"/>
          </w:tcPr>
          <w:p>
            <w:r>
              <w:rPr>
                <w:sz w:val="21"/>
              </w:rPr>
              <w:t>1（k）</w:t>
            </w:r>
          </w:p>
        </w:tc>
        <w:tc>
          <w:tcPr>
            <w:tcW w:type="dxa" w:w="2161"/>
          </w:tcPr>
          <w:p>
            <w:r>
              <w:rPr>
                <w:sz w:val="21"/>
              </w:rPr>
              <w:t>3（α, β, γ 函数）</w:t>
            </w:r>
          </w:p>
        </w:tc>
      </w:tr>
      <w:tr>
        <w:tc>
          <w:tcPr>
            <w:tcW w:type="dxa" w:w="2161"/>
          </w:tcPr>
          <w:p>
            <w:r>
              <w:rPr>
                <w:sz w:val="21"/>
              </w:rPr>
              <w:t>工程复杂度</w:t>
            </w:r>
          </w:p>
        </w:tc>
        <w:tc>
          <w:tcPr>
            <w:tcW w:type="dxa" w:w="2161"/>
          </w:tcPr>
          <w:p>
            <w:r>
              <w:rPr>
                <w:sz w:val="21"/>
              </w:rPr>
              <w:t>低</w:t>
            </w:r>
          </w:p>
        </w:tc>
        <w:tc>
          <w:tcPr>
            <w:tcW w:type="dxa" w:w="2161"/>
          </w:tcPr>
          <w:p>
            <w:r>
              <w:rPr>
                <w:sz w:val="21"/>
              </w:rPr>
              <w:t>低</w:t>
            </w:r>
          </w:p>
        </w:tc>
        <w:tc>
          <w:tcPr>
            <w:tcW w:type="dxa" w:w="2161"/>
          </w:tcPr>
          <w:p>
            <w:r>
              <w:rPr>
                <w:sz w:val="21"/>
              </w:rPr>
              <w:t>高</w:t>
            </w:r>
          </w:p>
        </w:tc>
      </w:tr>
      <w:tr>
        <w:tc>
          <w:tcPr>
            <w:tcW w:type="dxa" w:w="2161"/>
          </w:tcPr>
          <w:p>
            <w:r>
              <w:rPr>
                <w:sz w:val="21"/>
              </w:rPr>
              <w:t>适用场景</w:t>
            </w:r>
          </w:p>
        </w:tc>
        <w:tc>
          <w:tcPr>
            <w:tcW w:type="dxa" w:w="2161"/>
          </w:tcPr>
          <w:p>
            <w:r>
              <w:rPr>
                <w:sz w:val="21"/>
              </w:rPr>
              <w:t>通用检索</w:t>
            </w:r>
          </w:p>
        </w:tc>
        <w:tc>
          <w:tcPr>
            <w:tcW w:type="dxa" w:w="2161"/>
          </w:tcPr>
          <w:p>
            <w:r>
              <w:rPr>
                <w:sz w:val="21"/>
              </w:rPr>
              <w:t>多路融合排序</w:t>
            </w:r>
          </w:p>
        </w:tc>
        <w:tc>
          <w:tcPr>
            <w:tcW w:type="dxa" w:w="2161"/>
          </w:tcPr>
          <w:p>
            <w:r>
              <w:rPr>
                <w:sz w:val="21"/>
              </w:rPr>
              <w:t>多跳推理 / Agent RAG</w:t>
            </w:r>
          </w:p>
        </w:tc>
      </w:tr>
    </w:tbl>
    <w:p/>
    <w:p>
      <w:pPr>
        <w:pBdr>
          <w:bottom w:val="single" w:sz="4" w:space="1" w:color="AAAAAA"/>
        </w:pBdr>
        <w:spacing w:before="160" w:after="160"/>
      </w:pPr>
    </w:p>
    <w:p>
      <w:pPr>
        <w:pStyle w:val="Heading1"/>
      </w:pPr>
      <w:r>
        <w:t>参考文献</w:t>
      </w:r>
    </w:p>
    <w:p>
      <w:pPr>
        <w:pStyle w:val="ListNumber"/>
      </w:pPr>
      <w:r>
        <w:rPr>
          <w:color w:val="333333"/>
          <w:sz w:val="20"/>
        </w:rPr>
        <w:t>[1] Cormack, G. V., Clarke, C. L. A., &amp; Buettcher, S. (2009). Reciprocal Rank Fusion outperforms Condorcet and individual rank learning methods. SIGIR 2009.</w:t>
      </w:r>
    </w:p>
    <w:p>
      <w:pPr>
        <w:pStyle w:val="ListNumber"/>
      </w:pPr>
      <w:r>
        <w:rPr>
          <w:color w:val="333333"/>
          <w:sz w:val="20"/>
        </w:rPr>
        <w:t>[2] Robertson, S., &amp; Zaragoza, H. (2009). The Probabilistic Relevance Framework: BM25 and Beyond. Foundations and Trends in Information Retrieval.</w:t>
      </w:r>
    </w:p>
    <w:p>
      <w:pPr>
        <w:pStyle w:val="ListNumber"/>
      </w:pPr>
      <w:r>
        <w:rPr>
          <w:color w:val="333333"/>
          <w:sz w:val="20"/>
        </w:rPr>
        <w:t>[3] Luan, Y., Eisenstein, J., Toutanova, K., &amp; Collins, M. (2021). Sparse, Dense, and Attentional Representations for Text Retrieval. TACL.</w:t>
      </w:r>
    </w:p>
    <w:p>
      <w:pPr>
        <w:pStyle w:val="ListNumber"/>
      </w:pPr>
      <w:r>
        <w:rPr>
          <w:color w:val="333333"/>
          <w:sz w:val="20"/>
        </w:rPr>
        <w:t>[4] Ma, X., et al. (2023). Fine-Tuning LLaMA for Multi-Stage Text Retrieval. arXiv:2310.08319.</w:t>
      </w:r>
    </w:p>
    <w:p>
      <w:pPr>
        <w:pStyle w:val="ListNumber"/>
      </w:pPr>
      <w:r>
        <w:rPr>
          <w:color w:val="333333"/>
          <w:sz w:val="20"/>
        </w:rPr>
        <w:t>[5] Rackauckas, Z. (2024). RAG-Fusion: A New Take on Retrieval-Augmented Generation. arXiv:2402.03367.</w:t>
      </w:r>
    </w:p>
    <w:p>
      <w:pPr>
        <w:pStyle w:val="ListNumber"/>
      </w:pPr>
      <w:r>
        <w:rPr>
          <w:color w:val="333333"/>
          <w:sz w:val="20"/>
        </w:rPr>
        <w:t>[6] Sarthi, P., et al. (2024). RAPTOR: Recursive Abstractive Processing for Tree-Organized Retrieval. ICLR 2024.</w:t>
      </w:r>
    </w:p>
    <w:p>
      <w:pPr>
        <w:pStyle w:val="ListNumber"/>
      </w:pPr>
      <w:r>
        <w:rPr>
          <w:color w:val="333333"/>
          <w:sz w:val="20"/>
        </w:rPr>
        <w:t>[7] Edge, D., et al. (2024). From Local to Global: A Graph RAG Approach to Query-Focused Summarization. arXiv:2404.16130.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