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FAF60">
      <w:pPr>
        <w:widowControl w:val="0"/>
        <w:spacing w:beforeLines="50" w:afterLines="50"/>
        <w:jc w:val="center"/>
        <w:rPr>
          <w:rFonts w:ascii="Times New Roman" w:hAnsi="Times New Roman" w:eastAsia="黑体" w:cs="Times New Roman"/>
          <w:b/>
          <w:bCs/>
          <w:kern w:val="2"/>
          <w:sz w:val="30"/>
          <w:szCs w:val="30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30"/>
          <w:szCs w:val="30"/>
        </w:rPr>
        <w:t>模拟器使用说明</w:t>
      </w:r>
    </w:p>
    <w:p w14:paraId="239B7723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r>
        <w:rPr>
          <w:rFonts w:eastAsia="黑体"/>
          <w:b/>
          <w:sz w:val="24"/>
          <w:szCs w:val="24"/>
        </w:rPr>
        <w:t>1. 机器狗行为规则</w:t>
      </w:r>
    </w:p>
    <w:p w14:paraId="2AA574E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 xml:space="preserve">初始状态：机器狗初始位置为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(0,0)</m:t>
        </m:r>
      </m:oMath>
      <w:r>
        <w:rPr>
          <w:rFonts w:ascii="Times New Roman" w:hAnsi="Times New Roman" w:eastAsia="宋体" w:cs="Times New Roman"/>
          <w:kern w:val="2"/>
          <w:sz w:val="21"/>
          <w:szCs w:val="21"/>
        </w:rPr>
        <w:t>，测向机初始频道为1。</w:t>
      </w:r>
    </w:p>
    <w:p w14:paraId="4BCEFEE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动作：机器狗的动作包括开始、结束、移动、切换测向机频道、检测、精确定位并清除等。其中移动与切换测向机频道没有独立的指令，由模拟器根据输入参数自动推断。并且，为简化指令，将光学精确定位合并入清除操作，根据清除指令的返回结果区分精确定位是否成功。因此，通信协议中仅有4条指令：/enter、/exit、/measure、/clear。动作与指令的对应关系见表1，表中的耗时是单一动作的耗时，不是指令的耗时。虚拟世界的计时规则见下一节的说明。</w:t>
      </w:r>
    </w:p>
    <w:p w14:paraId="59237004">
      <w:pPr>
        <w:pStyle w:val="93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表1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机器狗动作与通信指令的对应关系</w:t>
      </w:r>
    </w:p>
    <w:tbl>
      <w:tblPr>
        <w:tblStyle w:val="49"/>
        <w:tblW w:w="500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24"/>
        <w:gridCol w:w="2132"/>
        <w:gridCol w:w="3508"/>
        <w:gridCol w:w="1146"/>
      </w:tblGrid>
      <w:tr w14:paraId="6059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3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3718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动作</w:t>
            </w:r>
          </w:p>
        </w:tc>
        <w:tc>
          <w:tcPr>
            <w:tcW w:w="521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C9E7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是否有独立指令</w:t>
            </w:r>
          </w:p>
        </w:tc>
        <w:tc>
          <w:tcPr>
            <w:tcW w:w="1202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B984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指令</w:t>
            </w:r>
          </w:p>
        </w:tc>
        <w:tc>
          <w:tcPr>
            <w:tcW w:w="1978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C4F46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  <w:tc>
          <w:tcPr>
            <w:tcW w:w="646" w:type="pct"/>
            <w:tcBorders>
              <w:bottom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23E94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虚拟世界耗时（秒）</w:t>
            </w:r>
          </w:p>
        </w:tc>
      </w:tr>
      <w:tr w14:paraId="58DA2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8ACF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CFE02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305A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6"/>
                <w:rFonts w:ascii="Times New Roman" w:hAnsi="Times New Roman"/>
                <w:sz w:val="21"/>
                <w:szCs w:val="21"/>
              </w:rPr>
              <w:t>POST /enter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AC0D4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机器狗进入目标区域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虚拟时间和程序运行时间开始计时。指令本身不增加虚拟时间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2BEB6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21A4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BC21EC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结束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6B422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B4B560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6"/>
                <w:rFonts w:ascii="Times New Roman" w:hAnsi="Times New Roman"/>
                <w:sz w:val="21"/>
                <w:szCs w:val="21"/>
              </w:rPr>
              <w:t>POST /exit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33244D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机器狗主动结束测试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成功响应中的退出原因固定为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u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ser_exit</w:t>
            </w:r>
            <w:r>
              <w:rPr>
                <w:rFonts w:hint="eastAsia" w:asciiTheme="minorHAnsi" w:hAnsiTheme="minorHAnsi" w:eastAsiaTheme="minorEastAsia" w:cstheme="minorBidi"/>
                <w:sz w:val="21"/>
                <w:szCs w:val="21"/>
              </w:rPr>
              <w:t>。</w:t>
            </w:r>
            <w:r>
              <w:rPr>
                <w:rFonts w:asciiTheme="minorHAnsi" w:hAnsiTheme="minorHAnsi" w:eastAsiaTheme="minorEastAsia" w:cstheme="minorBidi"/>
                <w:sz w:val="21"/>
                <w:szCs w:val="21"/>
              </w:rPr>
              <w:t>指令本身不增加虚拟时间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8A352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</w:t>
            </w:r>
          </w:p>
        </w:tc>
      </w:tr>
      <w:tr w14:paraId="6F23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FFC49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检测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F379B2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6B6CB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6"/>
                <w:rFonts w:ascii="Times New Roman" w:hAnsi="Times New Roman"/>
                <w:sz w:val="21"/>
                <w:szCs w:val="21"/>
              </w:rPr>
              <w:t>POST /measure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30BE6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输入检测位置与检测频道，模拟器返回检测结果。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ADB65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</w:tr>
      <w:tr w14:paraId="210DB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F3EE8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精确定位并清除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38F21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有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057F8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Style w:val="56"/>
                <w:rFonts w:ascii="Times New Roman" w:hAnsi="Times New Roman"/>
                <w:sz w:val="21"/>
                <w:szCs w:val="21"/>
              </w:rPr>
              <w:t>POST /clear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A280B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输入清除位置与目标频道，模拟器返回清除结果：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未发现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或</w:t>
            </w:r>
            <w:r>
              <w:rPr>
                <w:rFonts w:ascii="宋体" w:hAnsi="宋体"/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已清除</w:t>
            </w:r>
            <w:r>
              <w:rPr>
                <w:rFonts w:ascii="宋体" w:hAnsi="宋体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2516C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未发现：3</w:t>
            </w:r>
          </w:p>
          <w:p w14:paraId="66D5DDB6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已清除：5</w:t>
            </w:r>
          </w:p>
        </w:tc>
      </w:tr>
      <w:tr w14:paraId="61803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487475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测向机切换频道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C3B3AD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BAB27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 /</w:t>
            </w:r>
            <w:r>
              <w:rPr>
                <w:rStyle w:val="56"/>
                <w:rFonts w:ascii="Times New Roman" w:hAnsi="Times New Roman"/>
                <w:sz w:val="21"/>
                <w:szCs w:val="21"/>
              </w:rPr>
              <w:t>measure</w:t>
            </w:r>
            <w:r>
              <w:rPr>
                <w:sz w:val="21"/>
                <w:szCs w:val="21"/>
              </w:rPr>
              <w:t xml:space="preserve"> 的 channel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6490D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模拟器根据相邻两次检测频道参数变化推断是否切换频道。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2813C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3710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3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ACCB6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移动</w:t>
            </w:r>
          </w:p>
        </w:tc>
        <w:tc>
          <w:tcPr>
            <w:tcW w:w="521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16915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无</w:t>
            </w:r>
          </w:p>
        </w:tc>
        <w:tc>
          <w:tcPr>
            <w:tcW w:w="1202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6F9CE">
            <w:pPr>
              <w:pStyle w:val="32"/>
              <w:snapToGrid w:val="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通过 </w:t>
            </w:r>
            <w:r>
              <w:rPr>
                <w:rStyle w:val="56"/>
                <w:rFonts w:ascii="Times New Roman" w:hAnsi="Times New Roman"/>
                <w:sz w:val="21"/>
                <w:szCs w:val="21"/>
              </w:rPr>
              <w:t>/measure</w:t>
            </w:r>
            <w:r>
              <w:rPr>
                <w:sz w:val="21"/>
                <w:szCs w:val="21"/>
              </w:rPr>
              <w:t xml:space="preserve"> 或 </w:t>
            </w:r>
            <w:r>
              <w:rPr>
                <w:rStyle w:val="56"/>
                <w:rFonts w:ascii="Times New Roman" w:hAnsi="Times New Roman"/>
                <w:sz w:val="21"/>
                <w:szCs w:val="21"/>
              </w:rPr>
              <w:t>/clear</w:t>
            </w:r>
            <w:r>
              <w:rPr>
                <w:sz w:val="21"/>
                <w:szCs w:val="21"/>
              </w:rPr>
              <w:t xml:space="preserve"> 的 </w:t>
            </w:r>
            <w:r>
              <w:rPr>
                <w:rStyle w:val="56"/>
                <w:rFonts w:ascii="Times New Roman" w:hAnsi="Times New Roman"/>
                <w:sz w:val="21"/>
                <w:szCs w:val="21"/>
              </w:rPr>
              <w:t>position</w:t>
            </w:r>
            <w:r>
              <w:rPr>
                <w:sz w:val="21"/>
                <w:szCs w:val="21"/>
              </w:rPr>
              <w:t xml:space="preserve"> 确定</w:t>
            </w:r>
          </w:p>
        </w:tc>
        <w:tc>
          <w:tcPr>
            <w:tcW w:w="1978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5E802F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模拟器根据前后位置变化推断移动距离，计算耗时。</w:t>
            </w:r>
          </w:p>
        </w:tc>
        <w:tc>
          <w:tcPr>
            <w:tcW w:w="646" w:type="pct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8686C">
            <w:pPr>
              <w:pStyle w:val="32"/>
              <w:snapToGrid w:val="0"/>
              <w:ind w:firstLine="0" w:firstLineChars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直线距离除以速度</w:t>
            </w:r>
          </w:p>
        </w:tc>
      </w:tr>
    </w:tbl>
    <w:p w14:paraId="092EF8CB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41E8E7D0">
      <w:pPr>
        <w:widowControl w:val="0"/>
        <w:spacing w:after="0"/>
        <w:jc w:val="both"/>
        <w:rPr>
          <w:rFonts w:ascii="Times New Roman" w:hAnsi="Times New Roman" w:eastAsia="黑体" w:cs="Times New Roman"/>
          <w:b/>
        </w:rPr>
      </w:pPr>
      <w:bookmarkStart w:id="0" w:name="指令说明与虚拟世界计时规则"/>
      <w:r>
        <w:rPr>
          <w:rFonts w:ascii="Times New Roman" w:hAnsi="Times New Roman" w:eastAsia="黑体" w:cs="Times New Roman"/>
          <w:b/>
        </w:rPr>
        <w:t>2. 指令说明与虚拟世界计时规则</w:t>
      </w:r>
    </w:p>
    <w:p w14:paraId="3FD6FF0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以下简要介绍各指令，完整说明见附件2。</w:t>
      </w:r>
    </w:p>
    <w:p w14:paraId="64B73791">
      <w:pPr>
        <w:pStyle w:val="2"/>
        <w:widowControl/>
        <w:rPr>
          <w:rFonts w:eastAsia="黑体"/>
          <w:b/>
          <w:sz w:val="21"/>
          <w:szCs w:val="21"/>
        </w:rPr>
      </w:pPr>
      <w:bookmarkStart w:id="1" w:name="进入赛场enter"/>
      <w:r>
        <w:rPr>
          <w:rFonts w:eastAsia="黑体"/>
          <w:b/>
          <w:sz w:val="21"/>
          <w:szCs w:val="21"/>
        </w:rPr>
        <w:t>2.1. 开始（/enter）</w:t>
      </w:r>
    </w:p>
    <w:p w14:paraId="6E1ED94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机器狗进入初始位置，开始测试，虚拟世界时钟开始计时，指令本身不耗时。</w:t>
      </w:r>
    </w:p>
    <w:bookmarkEnd w:id="1"/>
    <w:p w14:paraId="3680BC57">
      <w:pPr>
        <w:pStyle w:val="2"/>
        <w:widowControl/>
        <w:rPr>
          <w:rFonts w:eastAsia="黑体"/>
          <w:b/>
          <w:sz w:val="21"/>
          <w:szCs w:val="21"/>
        </w:rPr>
      </w:pPr>
      <w:bookmarkStart w:id="2" w:name="测量measure"/>
      <w:r>
        <w:rPr>
          <w:rFonts w:eastAsia="黑体"/>
          <w:b/>
          <w:sz w:val="21"/>
          <w:szCs w:val="21"/>
        </w:rPr>
        <w:t>2.2. 检测（/measure）</w:t>
      </w:r>
    </w:p>
    <w:p w14:paraId="72C50D7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移动到指定位置（可以超出目标区域），对指定频道进行检测。移动和切换频道两个动作没有设置单独指令，机器狗在发送检测指令（/measure）时，指定位置参数和频道参数，模拟器根据参数值，自动推断与上一指令相比机器狗是否移动了位置，是否切换了频道，并计算相应的耗时。</w:t>
      </w:r>
    </w:p>
    <w:p w14:paraId="4034C39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完成一次检测指令消耗的总时间包括三部分：机器狗移动的耗时、切换频道的耗时、检测耗时。如果机器狗未移动或未切换频道，则相应的耗时为0。根据题目假设，如果机器狗移动了位置，则移动耗时等于前后两点间的直线距离除以机器狗的速度（5m/s）。在任何两个频道之间切换的耗时为1秒。</w:t>
      </w:r>
    </w:p>
    <w:p w14:paraId="47B784C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检测结果分为三种情况：</w:t>
      </w:r>
    </w:p>
    <w:p w14:paraId="1E03ACD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无信号：检测点处接收不到指定频道的干扰源信号（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该频道无未清除干扰源 / 超出接收距离 / 在定向覆盖角度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范围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no_signal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43BD95A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距离过近：当检测点与指定频道的干扰源的距离不超过5米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并且位于干扰源信号覆盖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角度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范围内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时，由于信号太强，将无法获得示向度信息。模拟器返回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near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2C738885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有信号：检测点处可以接收到指定频道的干扰源信号，则模拟器返回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direction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以及该干扰源的示向度。注：示向度与干扰源最大场强方向的真实方位角存在一定的误差，参见题目正文。</w:t>
      </w:r>
    </w:p>
    <w:p w14:paraId="34DDDCB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无论哪种情况，检测耗时均为5秒。</w:t>
      </w:r>
    </w:p>
    <w:bookmarkEnd w:id="2"/>
    <w:p w14:paraId="2BDEA25D">
      <w:pPr>
        <w:pStyle w:val="2"/>
        <w:widowControl/>
        <w:rPr>
          <w:rFonts w:eastAsia="黑体"/>
          <w:b/>
          <w:sz w:val="21"/>
          <w:szCs w:val="21"/>
        </w:rPr>
      </w:pPr>
      <w:bookmarkStart w:id="3" w:name="清除clear"/>
      <w:r>
        <w:rPr>
          <w:rFonts w:eastAsia="黑体"/>
          <w:b/>
          <w:sz w:val="21"/>
          <w:szCs w:val="21"/>
        </w:rPr>
        <w:t>2.3. 精确定位并清除（简称清除，/clear）</w:t>
      </w:r>
    </w:p>
    <w:p w14:paraId="5088B33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机器狗在发送清除指令（</w:t>
      </w:r>
      <w:r>
        <w:rPr>
          <w:kern w:val="2"/>
          <w:sz w:val="21"/>
          <w:szCs w:val="21"/>
        </w:rPr>
        <w:t>/clear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）时，指定位置参数和频道参数，精确定位并清除指定位置周围不超过20米范围内指定频道的干扰源。由于机器狗使用光学和激光类仪器进行精确定位和清除，因此清除操作中的频道参数仅用于指定要尝试清除的干扰源，不会切换测向机的当前频道状态，也不会产生切换频道的耗时。模拟器根据位置参数，自动推断与上一指令相比机器狗是否移动了位置。指令发出后，先启用光学探测仪进行精确定位，耗时3秒。如果在20米范围内没有发现指定频道的干扰源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；如果发现指定频道的干扰源，则立即启用激光枪清除干扰源，耗时2秒。</w:t>
      </w:r>
    </w:p>
    <w:p w14:paraId="6C93DE5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注：只要20米范围内有指定频道的干扰源，就一定能精确定位，并清除。同一个干扰源只能被清除一次。如果第二次尝试对同一干扰源进行清除，则返回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未发现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</w:p>
    <w:p w14:paraId="776E5B1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因此一次清除指令消耗的总时间包括：机器狗移动的耗时、精确定位耗时、清除耗时。移动的耗时与检测指令中移动耗时的设置相同。</w:t>
      </w:r>
    </w:p>
    <w:p w14:paraId="6CC07EA6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返回结果分为两种情况：</w:t>
      </w:r>
    </w:p>
    <w:p w14:paraId="49EC31C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没有发现：20米范围内不存在指定频道的干扰源，返回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no_target_in_range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，耗时3秒。</w:t>
      </w:r>
    </w:p>
    <w:p w14:paraId="611BBA6F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成功清除：20米范围内发现指定频道的干扰源并成功清除，返回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success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，耗时5秒。</w:t>
      </w:r>
    </w:p>
    <w:bookmarkEnd w:id="3"/>
    <w:p w14:paraId="54C1ECC8">
      <w:pPr>
        <w:pStyle w:val="2"/>
        <w:widowControl/>
        <w:rPr>
          <w:rFonts w:eastAsia="黑体"/>
          <w:b/>
          <w:sz w:val="21"/>
          <w:szCs w:val="21"/>
        </w:rPr>
      </w:pPr>
      <w:bookmarkStart w:id="4" w:name="退出赛场exit"/>
      <w:r>
        <w:rPr>
          <w:rFonts w:eastAsia="黑体"/>
          <w:b/>
          <w:sz w:val="21"/>
          <w:szCs w:val="21"/>
        </w:rPr>
        <w:t>2.4. 结束（/exit）</w:t>
      </w:r>
    </w:p>
    <w:p w14:paraId="78E5C642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机器狗结束测试。虚拟世界时钟结束计时，指令本身不耗时。机器狗可以在任意位置结束此次测试。</w:t>
      </w:r>
    </w:p>
    <w:p w14:paraId="1D952980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2.5. 运行时间约束</w:t>
      </w:r>
    </w:p>
    <w:p w14:paraId="47CAB9A8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用户确认开始后，模拟器先完成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本次测试的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数据准备，准备就绪后显示5秒倒计时。倒计时结束时开启25分钟测试窗口并开放机器狗接口。机器狗成功调用/</w:t>
      </w:r>
      <w:r>
        <w:rPr>
          <w:rFonts w:hint="eastAsia"/>
          <w:kern w:val="2"/>
          <w:sz w:val="21"/>
          <w:szCs w:val="21"/>
        </w:rPr>
        <w:t>enter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后开始计算程序运行时间，最长20分钟；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窗口与程序运行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时长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以较早到达者为准，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超时将自动退出并标记为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超时退出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机器狗在虚拟世界中的活动时长上限为100小时。</w:t>
      </w:r>
    </w:p>
    <w:p w14:paraId="4C865568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09A35E65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0"/>
    <w:bookmarkEnd w:id="4"/>
    <w:p w14:paraId="318EE295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5" w:name="示例"/>
      <w:r>
        <w:rPr>
          <w:rFonts w:eastAsia="黑体"/>
          <w:b/>
          <w:sz w:val="24"/>
          <w:szCs w:val="24"/>
        </w:rPr>
        <w:t>3. 示例</w:t>
      </w:r>
    </w:p>
    <w:p w14:paraId="7FCD20C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我们使用下面这个例子说明指令含义与计时规则。</w:t>
      </w:r>
    </w:p>
    <w:p w14:paraId="4C3406B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假设机器狗进入目标区域后，移动到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(300,400)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点处，先对频道1进行检测，再原地不动，对频道2进行检测。再移动到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m:oMath>
        <m:r>
          <m:rPr>
            <m:nor/>
            <m:sty m:val="p"/>
          </m:rPr>
          <w:rPr>
            <w:rFonts w:ascii="Times New Roman" w:hAnsi="Times New Roman" w:eastAsia="宋体" w:cs="Times New Roman"/>
            <w:kern w:val="2"/>
            <w:sz w:val="21"/>
            <w:szCs w:val="21"/>
          </w:rPr>
          <m:t>(300,0)</m:t>
        </m:r>
      </m:oMath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 xml:space="preserve"> 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点处，对频道3干扰源进行清除（假设没有发现），再原地不动，对频道2进行检测。然后退出目标区域。相应的指令序列和耗时如表2所示。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其中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第 4 步的频道参数是指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目标干扰源频道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，不会触发测向机切换频道，因此，第5步对频道2检测时，测向机仍然保持第3步时的频道2，不需要切换频道，没有切换频道的耗时。</w:t>
      </w:r>
    </w:p>
    <w:p w14:paraId="637B4736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08F7B284">
      <w:pPr>
        <w:pStyle w:val="93"/>
        <w:spacing w:beforeLines="50" w:afterLines="50" w:line="240" w:lineRule="auto"/>
        <w:rPr>
          <w:rFonts w:eastAsia="黑体" w:cs="Times New Roman"/>
          <w:b/>
          <w:sz w:val="21"/>
          <w:szCs w:val="21"/>
        </w:rPr>
      </w:pPr>
      <w:r>
        <w:rPr>
          <w:rFonts w:eastAsia="黑体" w:cs="Times New Roman"/>
          <w:b/>
          <w:sz w:val="21"/>
          <w:szCs w:val="21"/>
        </w:rPr>
        <w:t>表2</w:t>
      </w:r>
      <w:r>
        <w:rPr>
          <w:rFonts w:ascii="黑体" w:hAnsi="黑体" w:eastAsia="黑体" w:cs="Times New Roman"/>
          <w:b/>
          <w:sz w:val="21"/>
          <w:szCs w:val="21"/>
        </w:rPr>
        <w:t xml:space="preserve">  </w:t>
      </w:r>
      <w:r>
        <w:rPr>
          <w:rFonts w:eastAsia="黑体" w:cs="Times New Roman"/>
          <w:b/>
          <w:sz w:val="21"/>
          <w:szCs w:val="21"/>
        </w:rPr>
        <w:t>例场景及指令序列</w:t>
      </w:r>
    </w:p>
    <w:tbl>
      <w:tblPr>
        <w:tblStyle w:val="24"/>
        <w:tblW w:w="87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875"/>
        <w:gridCol w:w="1001"/>
        <w:gridCol w:w="705"/>
        <w:gridCol w:w="850"/>
        <w:gridCol w:w="851"/>
        <w:gridCol w:w="992"/>
        <w:gridCol w:w="992"/>
        <w:gridCol w:w="992"/>
        <w:gridCol w:w="851"/>
      </w:tblGrid>
      <w:tr w14:paraId="2870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5668281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序号</w:t>
            </w:r>
          </w:p>
        </w:tc>
        <w:tc>
          <w:tcPr>
            <w:tcW w:w="875" w:type="dxa"/>
            <w:vAlign w:val="center"/>
          </w:tcPr>
          <w:p w14:paraId="553B044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</w:t>
            </w:r>
          </w:p>
        </w:tc>
        <w:tc>
          <w:tcPr>
            <w:tcW w:w="1001" w:type="dxa"/>
            <w:vAlign w:val="center"/>
          </w:tcPr>
          <w:p w14:paraId="6F548D7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位置</w:t>
            </w:r>
          </w:p>
          <w:p w14:paraId="527B1A5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705" w:type="dxa"/>
            <w:vAlign w:val="center"/>
          </w:tcPr>
          <w:p w14:paraId="3071A68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频道</w:t>
            </w:r>
          </w:p>
          <w:p w14:paraId="1EAC1DD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参数</w:t>
            </w:r>
          </w:p>
        </w:tc>
        <w:tc>
          <w:tcPr>
            <w:tcW w:w="850" w:type="dxa"/>
            <w:vAlign w:val="center"/>
          </w:tcPr>
          <w:p w14:paraId="075A9E3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移动距离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米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851" w:type="dxa"/>
            <w:vAlign w:val="center"/>
          </w:tcPr>
          <w:p w14:paraId="2017DB0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移动耗时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3D611D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切换频道耗时(秒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)</w:t>
            </w:r>
          </w:p>
        </w:tc>
        <w:tc>
          <w:tcPr>
            <w:tcW w:w="992" w:type="dxa"/>
            <w:vAlign w:val="center"/>
          </w:tcPr>
          <w:p w14:paraId="02AD0A2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检测/清除耗时(秒)</w:t>
            </w:r>
          </w:p>
        </w:tc>
        <w:tc>
          <w:tcPr>
            <w:tcW w:w="992" w:type="dxa"/>
            <w:vAlign w:val="center"/>
          </w:tcPr>
          <w:p w14:paraId="1837B90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指令总耗时(秒)</w:t>
            </w:r>
          </w:p>
        </w:tc>
        <w:tc>
          <w:tcPr>
            <w:tcW w:w="851" w:type="dxa"/>
            <w:vAlign w:val="center"/>
          </w:tcPr>
          <w:p w14:paraId="7620DFF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虚拟世界时刻</w:t>
            </w:r>
          </w:p>
        </w:tc>
      </w:tr>
      <w:tr w14:paraId="58B5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1F7446E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75" w:type="dxa"/>
            <w:vAlign w:val="center"/>
          </w:tcPr>
          <w:p w14:paraId="4A72B59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/enter</w:t>
            </w:r>
          </w:p>
        </w:tc>
        <w:tc>
          <w:tcPr>
            <w:tcW w:w="1001" w:type="dxa"/>
            <w:vAlign w:val="center"/>
          </w:tcPr>
          <w:p w14:paraId="2506A754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18FF819F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02A28608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6C8CD63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BC96AC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1E78D2A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3E3A6B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3A46D8A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</w:tr>
      <w:tr w14:paraId="2DB51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0CAC07D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75" w:type="dxa"/>
            <w:vAlign w:val="center"/>
          </w:tcPr>
          <w:p w14:paraId="2B7239D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7D8FD28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1F2FA52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850" w:type="dxa"/>
            <w:vAlign w:val="center"/>
          </w:tcPr>
          <w:p w14:paraId="371A008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500</w:t>
            </w:r>
          </w:p>
        </w:tc>
        <w:tc>
          <w:tcPr>
            <w:tcW w:w="851" w:type="dxa"/>
            <w:vAlign w:val="center"/>
          </w:tcPr>
          <w:p w14:paraId="30014C7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100</w:t>
            </w:r>
          </w:p>
        </w:tc>
        <w:tc>
          <w:tcPr>
            <w:tcW w:w="992" w:type="dxa"/>
            <w:vAlign w:val="center"/>
          </w:tcPr>
          <w:p w14:paraId="002FC14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69CAF5D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5E6211A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  <w:tc>
          <w:tcPr>
            <w:tcW w:w="851" w:type="dxa"/>
            <w:vAlign w:val="center"/>
          </w:tcPr>
          <w:p w14:paraId="5183FB3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105</w:t>
            </w:r>
          </w:p>
        </w:tc>
      </w:tr>
      <w:tr w14:paraId="162B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77D405E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75" w:type="dxa"/>
            <w:vAlign w:val="center"/>
          </w:tcPr>
          <w:p w14:paraId="37D04166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46C6CE0F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(300,400)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4BDAC20A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0FC1562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4D6EE37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0872A77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992" w:type="dxa"/>
            <w:vAlign w:val="center"/>
          </w:tcPr>
          <w:p w14:paraId="11A8CD3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5CB9860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51" w:type="dxa"/>
            <w:vAlign w:val="center"/>
          </w:tcPr>
          <w:p w14:paraId="3E45088C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111</w:t>
            </w:r>
          </w:p>
        </w:tc>
      </w:tr>
      <w:tr w14:paraId="23B0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75A775E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875" w:type="dxa"/>
            <w:vAlign w:val="center"/>
          </w:tcPr>
          <w:p w14:paraId="28E742D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/clear</w:t>
            </w:r>
          </w:p>
        </w:tc>
        <w:tc>
          <w:tcPr>
            <w:tcW w:w="1001" w:type="dxa"/>
            <w:vAlign w:val="center"/>
          </w:tcPr>
          <w:p w14:paraId="5D20E0A3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7D2D99F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14:paraId="695DBF05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400</w:t>
            </w:r>
          </w:p>
        </w:tc>
        <w:tc>
          <w:tcPr>
            <w:tcW w:w="851" w:type="dxa"/>
            <w:vAlign w:val="center"/>
          </w:tcPr>
          <w:p w14:paraId="30D1137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80</w:t>
            </w:r>
          </w:p>
        </w:tc>
        <w:tc>
          <w:tcPr>
            <w:tcW w:w="992" w:type="dxa"/>
            <w:vAlign w:val="center"/>
          </w:tcPr>
          <w:p w14:paraId="2147E87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03E5A65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992" w:type="dxa"/>
            <w:vAlign w:val="center"/>
          </w:tcPr>
          <w:p w14:paraId="2566A5E2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83</w:t>
            </w:r>
          </w:p>
        </w:tc>
        <w:tc>
          <w:tcPr>
            <w:tcW w:w="851" w:type="dxa"/>
            <w:vAlign w:val="center"/>
          </w:tcPr>
          <w:p w14:paraId="1E3F7E4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194</w:t>
            </w:r>
          </w:p>
        </w:tc>
      </w:tr>
      <w:tr w14:paraId="3BC90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5705A29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75" w:type="dxa"/>
            <w:vAlign w:val="center"/>
          </w:tcPr>
          <w:p w14:paraId="23B5F67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/measure</w:t>
            </w:r>
          </w:p>
        </w:tc>
        <w:tc>
          <w:tcPr>
            <w:tcW w:w="1001" w:type="dxa"/>
            <w:vAlign w:val="center"/>
          </w:tcPr>
          <w:p w14:paraId="24E043C0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eastAsia="宋体" w:cs="Times New Roman"/>
                    <w:sz w:val="18"/>
                    <w:szCs w:val="18"/>
                  </w:rPr>
                  <m:t>(300,0)</m:t>
                </m:r>
              </m:oMath>
            </m:oMathPara>
          </w:p>
        </w:tc>
        <w:tc>
          <w:tcPr>
            <w:tcW w:w="705" w:type="dxa"/>
            <w:vAlign w:val="center"/>
          </w:tcPr>
          <w:p w14:paraId="4C6B829E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850" w:type="dxa"/>
            <w:vAlign w:val="center"/>
          </w:tcPr>
          <w:p w14:paraId="5B1C907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5605018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82EACA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26548B9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992" w:type="dxa"/>
            <w:vAlign w:val="center"/>
          </w:tcPr>
          <w:p w14:paraId="438FF624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5</w:t>
            </w:r>
          </w:p>
        </w:tc>
        <w:tc>
          <w:tcPr>
            <w:tcW w:w="851" w:type="dxa"/>
            <w:vAlign w:val="center"/>
          </w:tcPr>
          <w:p w14:paraId="69E8C84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  <w:tr w14:paraId="4229D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Align w:val="center"/>
          </w:tcPr>
          <w:p w14:paraId="42A8C0B8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6</w:t>
            </w:r>
          </w:p>
        </w:tc>
        <w:tc>
          <w:tcPr>
            <w:tcW w:w="875" w:type="dxa"/>
            <w:vAlign w:val="center"/>
          </w:tcPr>
          <w:p w14:paraId="5A94BE1B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Style w:val="56"/>
                <w:rFonts w:ascii="Times New Roman" w:hAnsi="Times New Roman" w:eastAsia="宋体" w:cs="Times New Roman"/>
                <w:sz w:val="18"/>
                <w:szCs w:val="18"/>
              </w:rPr>
              <w:t>/exit</w:t>
            </w:r>
          </w:p>
        </w:tc>
        <w:tc>
          <w:tcPr>
            <w:tcW w:w="1001" w:type="dxa"/>
            <w:vAlign w:val="center"/>
          </w:tcPr>
          <w:p w14:paraId="68E7FA6F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14:paraId="4A681111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0" w:type="dxa"/>
            <w:vAlign w:val="center"/>
          </w:tcPr>
          <w:p w14:paraId="55C83BD4">
            <w:pPr>
              <w:widowControl w:val="0"/>
              <w:spacing w:after="0"/>
              <w:jc w:val="center"/>
              <w:rPr>
                <w:rFonts w:ascii="宋体" w:hAnsi="宋体" w:eastAsia="宋体" w:cs="Times New Roman"/>
                <w:kern w:val="2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-</w:t>
            </w:r>
          </w:p>
        </w:tc>
        <w:tc>
          <w:tcPr>
            <w:tcW w:w="851" w:type="dxa"/>
            <w:vAlign w:val="center"/>
          </w:tcPr>
          <w:p w14:paraId="6CE7DBE7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287DC6A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5D5C1DA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992" w:type="dxa"/>
            <w:vAlign w:val="center"/>
          </w:tcPr>
          <w:p w14:paraId="03D6B03D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0</w:t>
            </w:r>
          </w:p>
        </w:tc>
        <w:tc>
          <w:tcPr>
            <w:tcW w:w="851" w:type="dxa"/>
            <w:vAlign w:val="center"/>
          </w:tcPr>
          <w:p w14:paraId="3CDEA321">
            <w:pPr>
              <w:widowControl w:val="0"/>
              <w:spacing w:after="0"/>
              <w:jc w:val="center"/>
              <w:rPr>
                <w:rFonts w:ascii="Times New Roman" w:hAnsi="Times New Roman" w:eastAsia="宋体" w:cs="Times New Roman"/>
                <w:kern w:val="2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199</w:t>
            </w:r>
          </w:p>
        </w:tc>
      </w:tr>
    </w:tbl>
    <w:p w14:paraId="62E32BBE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bookmarkEnd w:id="5"/>
    <w:p w14:paraId="3ECB1306">
      <w:pPr>
        <w:pStyle w:val="2"/>
        <w:widowControl/>
        <w:spacing w:line="240" w:lineRule="auto"/>
        <w:rPr>
          <w:rFonts w:eastAsia="黑体"/>
          <w:b/>
          <w:sz w:val="24"/>
          <w:szCs w:val="24"/>
        </w:rPr>
      </w:pPr>
      <w:bookmarkStart w:id="6" w:name="最短-python-示例与表2一致"/>
      <w:bookmarkEnd w:id="6"/>
      <w:r>
        <w:rPr>
          <w:rFonts w:eastAsia="黑体"/>
          <w:b/>
          <w:sz w:val="24"/>
          <w:szCs w:val="24"/>
        </w:rPr>
        <w:t>4</w:t>
      </w:r>
      <w:r>
        <w:rPr>
          <w:rFonts w:hint="eastAsia" w:eastAsia="黑体"/>
          <w:b/>
          <w:sz w:val="24"/>
          <w:szCs w:val="24"/>
        </w:rPr>
        <w:t>.</w:t>
      </w:r>
      <w:r>
        <w:rPr>
          <w:rFonts w:eastAsia="黑体"/>
          <w:b/>
          <w:sz w:val="24"/>
          <w:szCs w:val="24"/>
        </w:rPr>
        <w:t xml:space="preserve"> 模拟器操作指南</w:t>
      </w:r>
    </w:p>
    <w:p w14:paraId="3121506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模拟器下载地址：</w:t>
      </w:r>
      <w:r>
        <w:fldChar w:fldCharType="begin"/>
      </w:r>
      <w:r>
        <w:instrText xml:space="preserve"> HYPERLINK "https://pan.baidu.com/s/1P1yfVjY0RufU93XOdzhOLw?pwd=2026" </w:instrText>
      </w:r>
      <w:r>
        <w:fldChar w:fldCharType="separate"/>
      </w:r>
      <w:r>
        <w:rPr>
          <w:rStyle w:val="26"/>
          <w:rFonts w:hint="eastAsia" w:ascii="Times New Roman" w:hAnsi="Times New Roman" w:eastAsia="宋体" w:cs="Times New Roman"/>
          <w:kern w:val="2"/>
          <w:sz w:val="21"/>
          <w:szCs w:val="21"/>
        </w:rPr>
        <w:t>https://pan.baidu.com/s/1P1yfVjY0RufU93XOdzhOLw?pwd=2026</w:t>
      </w:r>
      <w:r>
        <w:rPr>
          <w:rStyle w:val="27"/>
          <w:rFonts w:hint="eastAsia"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02630D2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提取码：2026</w:t>
      </w:r>
    </w:p>
    <w:p w14:paraId="32B4A4ED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技术支持邮箱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：</w:t>
      </w:r>
      <w:r>
        <w:fldChar w:fldCharType="begin"/>
      </w:r>
      <w:r>
        <w:instrText xml:space="preserve"> HYPERLINK "mailto:cumcm2026b@163.com" </w:instrText>
      </w:r>
      <w:r>
        <w:fldChar w:fldCharType="separate"/>
      </w:r>
      <w:r>
        <w:rPr>
          <w:rStyle w:val="27"/>
          <w:rFonts w:hint="eastAsia" w:ascii="Times New Roman" w:hAnsi="Times New Roman" w:eastAsia="宋体" w:cs="Times New Roman"/>
          <w:kern w:val="2"/>
          <w:sz w:val="21"/>
          <w:szCs w:val="21"/>
        </w:rPr>
        <w:t>c</w:t>
      </w:r>
      <w:r>
        <w:rPr>
          <w:rStyle w:val="27"/>
          <w:rFonts w:ascii="Times New Roman" w:hAnsi="Times New Roman" w:eastAsia="宋体" w:cs="Times New Roman"/>
          <w:kern w:val="2"/>
          <w:sz w:val="21"/>
          <w:szCs w:val="21"/>
        </w:rPr>
        <w:t>umcm2026b@163.com</w:t>
      </w:r>
      <w:r>
        <w:rPr>
          <w:rStyle w:val="27"/>
          <w:rFonts w:ascii="Times New Roman" w:hAnsi="Times New Roman" w:eastAsia="宋体" w:cs="Times New Roman"/>
          <w:kern w:val="2"/>
          <w:sz w:val="21"/>
          <w:szCs w:val="21"/>
        </w:rPr>
        <w:fldChar w:fldCharType="end"/>
      </w:r>
    </w:p>
    <w:p w14:paraId="1E628509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模拟器为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绿色软件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不需要安装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解压缩后可直接运行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模拟器运行过程中会在其所在目录中保存必要的数据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如果需要移动模拟器的存放位置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须同步移动这些数据文件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建议整体移动模拟器所在目录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24102694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4.1</w:t>
      </w:r>
      <w:r>
        <w:rPr>
          <w:rFonts w:hint="eastAsia" w:eastAsia="黑体"/>
          <w:b/>
          <w:sz w:val="21"/>
          <w:szCs w:val="21"/>
        </w:rPr>
        <w:t xml:space="preserve"> 账号与登录</w:t>
      </w:r>
    </w:p>
    <w:p w14:paraId="352E18D8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每次运行模拟器都需要联网登录。首次使用时，填写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竞赛报名系统中的参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赛队号、队员1姓名、队员1手机号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进行信息核对，并设置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密码完成注册。密码为12至64个字符，必须同时包含字母和数字，不能包含完整参赛队号或手机号中的连续6位数字，也不能使用常见弱密码。</w:t>
      </w:r>
    </w:p>
    <w:p w14:paraId="5BBEF0D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同一账号不能同时在两台设备上使用。同一设备重新登录会使旧登录失效；另一台设备正在活跃使用该账号时，新设备登录会被拒绝。原设备正常退出后可立即在其他设备登录；原设备崩溃或掉电、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未能正式退出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时，服务器最多需要约120秒释放会话；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在此期间其他设备登录会被拒绝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p w14:paraId="14CE98D4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4.2</w:t>
      </w:r>
      <w:r>
        <w:rPr>
          <w:rFonts w:hint="eastAsia" w:eastAsia="黑体"/>
          <w:b/>
          <w:sz w:val="21"/>
          <w:szCs w:val="21"/>
        </w:rPr>
        <w:t xml:space="preserve"> 联网和截止时间</w:t>
      </w:r>
    </w:p>
    <w:p w14:paraId="0BCBA51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问题3、问题4的演练测试和正式测试都要求模拟器全程保持网络连接。开始每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次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测试前，模拟器会重新校验登录状态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和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服务器时间。网络不可用或本机时间与服务器时间相差超过60秒时，不能启动新测试。测试期间出现短暂网络异常时，应保持模拟器运行并等待自动重连。</w:t>
      </w:r>
    </w:p>
    <w:p w14:paraId="50066A3E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北京时间2026年9月13日17:30之后不能启动新的演练测试或正式测试。此前已经开始的测试可以正常完成。为避免网络拥堵，建议尽早进行正式测试，建议在2026年9月13日15:30之前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完成全部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正式测试。</w:t>
      </w:r>
    </w:p>
    <w:p w14:paraId="34091029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37623C0A">
      <w:pPr>
        <w:widowControl w:val="0"/>
        <w:spacing w:after="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</w:p>
    <w:p w14:paraId="06321C93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4.3</w:t>
      </w:r>
      <w:r>
        <w:rPr>
          <w:rFonts w:hint="eastAsia" w:eastAsia="黑体"/>
          <w:b/>
          <w:sz w:val="21"/>
          <w:szCs w:val="21"/>
        </w:rPr>
        <w:t xml:space="preserve"> 四个测试模块</w:t>
      </w:r>
    </w:p>
    <w:p w14:paraId="0E1E17E7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模拟器分别提供“问题3演练测试”“问题4演练测试”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问题3正式测试”和“问题4正式测试”入口。演练测试不</w:t>
      </w:r>
      <w:bookmarkStart w:id="7" w:name="_GoBack"/>
      <w:bookmarkEnd w:id="7"/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限次数。问题3和问题4的正式测试各有3次机会。正式测试开始前会再次确认；启动成功后将占用对应问题的一次正式测试机会。</w:t>
      </w:r>
    </w:p>
    <w:p w14:paraId="2F38BC35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4.4</w:t>
      </w:r>
      <w:r>
        <w:rPr>
          <w:rFonts w:hint="eastAsia" w:eastAsia="黑体"/>
          <w:b/>
          <w:sz w:val="21"/>
          <w:szCs w:val="21"/>
        </w:rPr>
        <w:t xml:space="preserve"> 机器狗接口</w:t>
      </w:r>
    </w:p>
    <w:p w14:paraId="6CE8AF94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默认接口地址为http://127.0.0.1:2026。可以在模拟器空闲时修改端口。模拟器启动时会检测并保留端口；端口被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其他应用程序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占用时，应先关闭占用程序，或在设置中选择其他可用端口。</w:t>
      </w:r>
    </w:p>
    <w:p w14:paraId="6ABF62FC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5秒倒计时期间、非测试期间和测试结束后，机器狗接口均未开放，连接失败属于正常现象。机器狗程序应使用当前登录参赛队号作为robot_id，每个新动作使用新的request_id，并逐次等待响应，不得并发发送不同动作。网络中断后重试同一个动作时，必须复用原请求内容和原request_id。</w:t>
      </w:r>
    </w:p>
    <w:p w14:paraId="7DCA5DAD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4.5</w:t>
      </w:r>
      <w:r>
        <w:rPr>
          <w:rFonts w:hint="eastAsia" w:eastAsia="黑体"/>
          <w:b/>
          <w:sz w:val="21"/>
          <w:szCs w:val="21"/>
        </w:rPr>
        <w:t xml:space="preserve"> 测试过程和结束</w:t>
      </w:r>
    </w:p>
    <w:p w14:paraId="29B60F9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测试页面的“指令与反馈”区域显示机器狗请求及模拟器反馈，默认仅显示最新1000条，可以在设置中调整为10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0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至5000条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这只是界面显示数量，不限制机器狗请求总数，完整行为仍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会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写入日志。</w:t>
      </w:r>
    </w:p>
    <w:p w14:paraId="460C5E4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机器狗调用/exit、手工中止、25分钟窗口超时、</w:t>
      </w:r>
      <w:r>
        <w:rPr>
          <w:rFonts w:ascii="宋体" w:hAnsi="宋体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/enter</w:t>
      </w:r>
      <w:r>
        <w:rPr>
          <w:rFonts w:ascii="宋体" w:hAnsi="宋体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后程序运行超时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、虚拟时间超时或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技术异常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都会结束测试并关闭机器狗接口。模拟器会根据结束原因显示不同的完成提示。</w:t>
      </w:r>
    </w:p>
    <w:p w14:paraId="78687CE3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演练和正式测试都提供“中止测试”，必须经过两次确认。机器狗程序卡死或从未调用 /enter时可以手工中止，不需要等待窗口超时。测试结束后不能复位或继续原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，只能开始新的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一次测试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正式测试中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“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中止测试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”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仍会占用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一次正式测试机会。</w:t>
      </w:r>
    </w:p>
    <w:p w14:paraId="4F8EAA5A">
      <w:pPr>
        <w:pStyle w:val="2"/>
        <w:widowControl/>
        <w:rPr>
          <w:rFonts w:eastAsia="黑体"/>
          <w:b/>
          <w:sz w:val="21"/>
          <w:szCs w:val="21"/>
        </w:rPr>
      </w:pPr>
      <w:r>
        <w:rPr>
          <w:rFonts w:eastAsia="黑体"/>
          <w:b/>
          <w:sz w:val="21"/>
          <w:szCs w:val="21"/>
        </w:rPr>
        <w:t>4.6</w:t>
      </w:r>
      <w:r>
        <w:rPr>
          <w:rFonts w:hint="eastAsia" w:eastAsia="黑体"/>
          <w:b/>
          <w:sz w:val="21"/>
          <w:szCs w:val="21"/>
        </w:rPr>
        <w:t xml:space="preserve"> 测试案例编码和行为日志</w:t>
      </w:r>
    </w:p>
    <w:p w14:paraId="2C30447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每局测试都会显示一个测试案例编码，并在对应测试模块的日志列表中长期显示。测试案例编码用于表格填写和日志关联。</w:t>
      </w:r>
    </w:p>
    <w:p w14:paraId="222092C1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演练测试结束后，界面可以显示本局干扰源总数、全向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数量和定向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干扰源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数量。正式测试在任何界面和完成提示中都不显示这些案例真值。</w:t>
      </w:r>
    </w:p>
    <w:p w14:paraId="05FDC77B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正式测试结束后，模拟器自动生成加密机器狗行为日志并加入上传队列。上传失败时模拟器自动重试。已进入上传队列的日志不受17:30测试启动截止时间限制。选手可以从日志列表导出正式日志，放入支撑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材料中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。加密日志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文件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大小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需在2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MB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以内方可上传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正常策略几乎不会超过这一上限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；演练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测试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时应留意日志大小，正式测试前确认机器狗程序没有异常高频循环。</w:t>
      </w:r>
    </w:p>
    <w:p w14:paraId="389C4650">
      <w:pPr>
        <w:widowControl w:val="0"/>
        <w:spacing w:after="0"/>
        <w:ind w:firstLine="420" w:firstLineChars="200"/>
        <w:jc w:val="both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eastAsia="宋体" w:cs="Times New Roman"/>
          <w:kern w:val="2"/>
          <w:sz w:val="21"/>
          <w:szCs w:val="21"/>
        </w:rPr>
        <w:t>机器狗程序应自行记录测试过程中的指令序列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、</w:t>
      </w:r>
      <w:r>
        <w:rPr>
          <w:rFonts w:ascii="Times New Roman" w:hAnsi="Times New Roman" w:eastAsia="宋体" w:cs="Times New Roman"/>
          <w:kern w:val="2"/>
          <w:sz w:val="21"/>
          <w:szCs w:val="21"/>
        </w:rPr>
        <w:t>响应信息等内容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</w:rPr>
        <w:t>。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Noto Serif SC"/>
    <w:panose1 w:val="00000000000000000000"/>
    <w:charset w:val="80"/>
    <w:family w:val="auto"/>
    <w:pitch w:val="default"/>
    <w:sig w:usb0="00000000" w:usb1="00000000" w:usb2="00000010" w:usb3="00000000" w:csb0="003E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240"/>
  <w:drawingGridHorizontalSpacing w:val="360"/>
  <w:drawingGridVerticalSpacing w:val="360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2"/>
  </w:compat>
  <w:rsids>
    <w:rsidRoot w:val="00F854E9"/>
    <w:rsid w:val="000052E8"/>
    <w:rsid w:val="00055FCF"/>
    <w:rsid w:val="000574B0"/>
    <w:rsid w:val="000A2CF2"/>
    <w:rsid w:val="000C4B98"/>
    <w:rsid w:val="0010414E"/>
    <w:rsid w:val="00123B98"/>
    <w:rsid w:val="0015618E"/>
    <w:rsid w:val="001653AD"/>
    <w:rsid w:val="001865D8"/>
    <w:rsid w:val="00193395"/>
    <w:rsid w:val="00193AA1"/>
    <w:rsid w:val="001C178A"/>
    <w:rsid w:val="001D1070"/>
    <w:rsid w:val="00215995"/>
    <w:rsid w:val="00235A13"/>
    <w:rsid w:val="002368C3"/>
    <w:rsid w:val="0026139C"/>
    <w:rsid w:val="00265C6F"/>
    <w:rsid w:val="002B691E"/>
    <w:rsid w:val="002D08C4"/>
    <w:rsid w:val="002D2B55"/>
    <w:rsid w:val="00300369"/>
    <w:rsid w:val="00301A36"/>
    <w:rsid w:val="00301DEE"/>
    <w:rsid w:val="00315D13"/>
    <w:rsid w:val="00340BAF"/>
    <w:rsid w:val="00370A9D"/>
    <w:rsid w:val="003756C5"/>
    <w:rsid w:val="003B72FF"/>
    <w:rsid w:val="003C28F9"/>
    <w:rsid w:val="003F4F43"/>
    <w:rsid w:val="004137DC"/>
    <w:rsid w:val="00417990"/>
    <w:rsid w:val="00427D04"/>
    <w:rsid w:val="00460FEF"/>
    <w:rsid w:val="004642E8"/>
    <w:rsid w:val="00484023"/>
    <w:rsid w:val="004D283A"/>
    <w:rsid w:val="004D5EEA"/>
    <w:rsid w:val="00523073"/>
    <w:rsid w:val="005326B8"/>
    <w:rsid w:val="005348DE"/>
    <w:rsid w:val="005B2C10"/>
    <w:rsid w:val="005B79F2"/>
    <w:rsid w:val="005D7A9F"/>
    <w:rsid w:val="005F48A2"/>
    <w:rsid w:val="0066024D"/>
    <w:rsid w:val="006711B9"/>
    <w:rsid w:val="0067298A"/>
    <w:rsid w:val="006A336F"/>
    <w:rsid w:val="006B37A0"/>
    <w:rsid w:val="006D067C"/>
    <w:rsid w:val="006D15DA"/>
    <w:rsid w:val="006E1DA1"/>
    <w:rsid w:val="00731342"/>
    <w:rsid w:val="00792320"/>
    <w:rsid w:val="007A6CF2"/>
    <w:rsid w:val="00816BAE"/>
    <w:rsid w:val="00823C06"/>
    <w:rsid w:val="00827BC4"/>
    <w:rsid w:val="00852638"/>
    <w:rsid w:val="00885A6B"/>
    <w:rsid w:val="008B36B1"/>
    <w:rsid w:val="008E1FA7"/>
    <w:rsid w:val="00934E7E"/>
    <w:rsid w:val="00941DFB"/>
    <w:rsid w:val="00950709"/>
    <w:rsid w:val="00954E78"/>
    <w:rsid w:val="00955F3B"/>
    <w:rsid w:val="00976296"/>
    <w:rsid w:val="009772C7"/>
    <w:rsid w:val="00986297"/>
    <w:rsid w:val="009A2060"/>
    <w:rsid w:val="009C5769"/>
    <w:rsid w:val="009D1D13"/>
    <w:rsid w:val="009D3E1D"/>
    <w:rsid w:val="00A27093"/>
    <w:rsid w:val="00A429A8"/>
    <w:rsid w:val="00A43AF6"/>
    <w:rsid w:val="00A55574"/>
    <w:rsid w:val="00A83B96"/>
    <w:rsid w:val="00AD5A1D"/>
    <w:rsid w:val="00B101BD"/>
    <w:rsid w:val="00B1759F"/>
    <w:rsid w:val="00B32E29"/>
    <w:rsid w:val="00B834F1"/>
    <w:rsid w:val="00B86443"/>
    <w:rsid w:val="00BA3A0E"/>
    <w:rsid w:val="00BB7187"/>
    <w:rsid w:val="00BF6EF3"/>
    <w:rsid w:val="00C04346"/>
    <w:rsid w:val="00C10C29"/>
    <w:rsid w:val="00C267CD"/>
    <w:rsid w:val="00C87F17"/>
    <w:rsid w:val="00CB4C38"/>
    <w:rsid w:val="00CE583A"/>
    <w:rsid w:val="00D07923"/>
    <w:rsid w:val="00D17BE3"/>
    <w:rsid w:val="00D4294C"/>
    <w:rsid w:val="00D7597A"/>
    <w:rsid w:val="00DB6F47"/>
    <w:rsid w:val="00DE5794"/>
    <w:rsid w:val="00E04083"/>
    <w:rsid w:val="00E13B70"/>
    <w:rsid w:val="00E30E0D"/>
    <w:rsid w:val="00E3744D"/>
    <w:rsid w:val="00E45C0A"/>
    <w:rsid w:val="00E73137"/>
    <w:rsid w:val="00EA7DD7"/>
    <w:rsid w:val="00ED30C9"/>
    <w:rsid w:val="00EF4CF3"/>
    <w:rsid w:val="00F00998"/>
    <w:rsid w:val="00F52F85"/>
    <w:rsid w:val="00F6056A"/>
    <w:rsid w:val="00F65413"/>
    <w:rsid w:val="00F748F4"/>
    <w:rsid w:val="00F854E9"/>
    <w:rsid w:val="00FC18A2"/>
    <w:rsid w:val="00FC6FD1"/>
    <w:rsid w:val="00FE6C81"/>
    <w:rsid w:val="1BBE5E26"/>
    <w:rsid w:val="1BCFDC2D"/>
    <w:rsid w:val="1FEF6285"/>
    <w:rsid w:val="2BEDB03F"/>
    <w:rsid w:val="2BF3D625"/>
    <w:rsid w:val="2E7FF6F8"/>
    <w:rsid w:val="2EFFCF2B"/>
    <w:rsid w:val="2FDB355F"/>
    <w:rsid w:val="2FFDCA7E"/>
    <w:rsid w:val="32D5CA19"/>
    <w:rsid w:val="37EB158E"/>
    <w:rsid w:val="38FD2DE9"/>
    <w:rsid w:val="39C74843"/>
    <w:rsid w:val="3BEEFFA7"/>
    <w:rsid w:val="3D5E4F12"/>
    <w:rsid w:val="3DFF8955"/>
    <w:rsid w:val="4F57EE8C"/>
    <w:rsid w:val="4F96CAB0"/>
    <w:rsid w:val="53D41A15"/>
    <w:rsid w:val="56FF9AD9"/>
    <w:rsid w:val="594DF38B"/>
    <w:rsid w:val="5BAC8DCF"/>
    <w:rsid w:val="5CF2D43D"/>
    <w:rsid w:val="5CFF3F33"/>
    <w:rsid w:val="5E5EB79F"/>
    <w:rsid w:val="5EDDB5FE"/>
    <w:rsid w:val="5EEF265B"/>
    <w:rsid w:val="5EFF1349"/>
    <w:rsid w:val="5F0C683C"/>
    <w:rsid w:val="5F2B12E4"/>
    <w:rsid w:val="5FBF75C9"/>
    <w:rsid w:val="5FFD4B1D"/>
    <w:rsid w:val="63B9B8F7"/>
    <w:rsid w:val="676DB09E"/>
    <w:rsid w:val="68133662"/>
    <w:rsid w:val="6AFA2C14"/>
    <w:rsid w:val="6BD93176"/>
    <w:rsid w:val="6DFFB82A"/>
    <w:rsid w:val="6EFB45C8"/>
    <w:rsid w:val="6F7B163A"/>
    <w:rsid w:val="72F7105C"/>
    <w:rsid w:val="763D44B7"/>
    <w:rsid w:val="7677CE29"/>
    <w:rsid w:val="767B8E2E"/>
    <w:rsid w:val="77D3A059"/>
    <w:rsid w:val="77FE2CC8"/>
    <w:rsid w:val="781D71A2"/>
    <w:rsid w:val="7AD76C64"/>
    <w:rsid w:val="7AFE4322"/>
    <w:rsid w:val="7B6FEEF8"/>
    <w:rsid w:val="7D532D8C"/>
    <w:rsid w:val="7D77A9B8"/>
    <w:rsid w:val="7DAD3D68"/>
    <w:rsid w:val="7DBB8576"/>
    <w:rsid w:val="7DD5B32B"/>
    <w:rsid w:val="7DD64C70"/>
    <w:rsid w:val="7DE3496B"/>
    <w:rsid w:val="7DF66A89"/>
    <w:rsid w:val="7DF96349"/>
    <w:rsid w:val="7DFF0C19"/>
    <w:rsid w:val="7EFFD6F0"/>
    <w:rsid w:val="7F2F44B6"/>
    <w:rsid w:val="7F6FE7A9"/>
    <w:rsid w:val="7F7F3E8F"/>
    <w:rsid w:val="7FB3BB81"/>
    <w:rsid w:val="7FBEC2C6"/>
    <w:rsid w:val="7FFB1185"/>
    <w:rsid w:val="7FFECFF3"/>
    <w:rsid w:val="9D7F1203"/>
    <w:rsid w:val="9E355E43"/>
    <w:rsid w:val="9FAF18E2"/>
    <w:rsid w:val="A7BF9368"/>
    <w:rsid w:val="ADBFF8FD"/>
    <w:rsid w:val="AFABCF12"/>
    <w:rsid w:val="AFBE197E"/>
    <w:rsid w:val="B6E3381B"/>
    <w:rsid w:val="B7719299"/>
    <w:rsid w:val="BC961DF0"/>
    <w:rsid w:val="BEFDB649"/>
    <w:rsid w:val="BF7AED08"/>
    <w:rsid w:val="D12F8323"/>
    <w:rsid w:val="D37F1B07"/>
    <w:rsid w:val="D3FFCA61"/>
    <w:rsid w:val="D56D8763"/>
    <w:rsid w:val="D5EDFA34"/>
    <w:rsid w:val="D79A0B73"/>
    <w:rsid w:val="DB23FC19"/>
    <w:rsid w:val="DB7BCAAA"/>
    <w:rsid w:val="DE3F5BCC"/>
    <w:rsid w:val="E5FFFC8E"/>
    <w:rsid w:val="E7D73C31"/>
    <w:rsid w:val="EDEFE1D3"/>
    <w:rsid w:val="EF6E9BD1"/>
    <w:rsid w:val="EFBF7B3D"/>
    <w:rsid w:val="F27EAAE6"/>
    <w:rsid w:val="F3FFDE9E"/>
    <w:rsid w:val="F42E3B3A"/>
    <w:rsid w:val="F4EB0722"/>
    <w:rsid w:val="F53DDDFA"/>
    <w:rsid w:val="F7CC093E"/>
    <w:rsid w:val="F7F3D17E"/>
    <w:rsid w:val="F97F7029"/>
    <w:rsid w:val="FA3DE35F"/>
    <w:rsid w:val="FB7B3C82"/>
    <w:rsid w:val="FC9E41FB"/>
    <w:rsid w:val="FCF716FE"/>
    <w:rsid w:val="FDDE661C"/>
    <w:rsid w:val="FDEC7262"/>
    <w:rsid w:val="FDEFFD1A"/>
    <w:rsid w:val="FEFD0611"/>
    <w:rsid w:val="FF36BC37"/>
    <w:rsid w:val="FF6F463A"/>
    <w:rsid w:val="FF77C12F"/>
    <w:rsid w:val="FF7E4A8B"/>
    <w:rsid w:val="FF7F0189"/>
    <w:rsid w:val="FFBB0EAD"/>
    <w:rsid w:val="FFEF305E"/>
    <w:rsid w:val="FFF7F59B"/>
    <w:rsid w:val="FFFE8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3"/>
    <w:link w:val="39"/>
    <w:qFormat/>
    <w:uiPriority w:val="9"/>
    <w:pPr>
      <w:widowControl w:val="0"/>
      <w:adjustRightInd w:val="0"/>
      <w:spacing w:line="300" w:lineRule="auto"/>
      <w:jc w:val="both"/>
      <w:outlineLvl w:val="0"/>
    </w:pPr>
    <w:rPr>
      <w:rFonts w:ascii="Times New Roman" w:hAnsi="Times New Roman" w:eastAsia="Heiti SC Medium" w:cs="Times New Roman"/>
      <w:color w:val="000000"/>
      <w:kern w:val="44"/>
      <w:sz w:val="32"/>
      <w:szCs w:val="44"/>
      <w:lang w:val="en-US" w:eastAsia="zh-CN"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line="300" w:lineRule="auto"/>
      <w:jc w:val="both"/>
      <w:outlineLvl w:val="1"/>
    </w:pPr>
    <w:rPr>
      <w:rFonts w:ascii="Times New Roman" w:hAnsi="Times New Roman" w:eastAsia="Heiti SC Medium" w:cs="Times New Roman"/>
      <w:kern w:val="2"/>
      <w:sz w:val="30"/>
      <w:szCs w:val="32"/>
      <w:lang w:val="en-US" w:eastAsia="zh-CN" w:bidi="ar-SA"/>
    </w:rPr>
  </w:style>
  <w:style w:type="paragraph" w:styleId="5">
    <w:name w:val="heading 3"/>
    <w:next w:val="3"/>
    <w:semiHidden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val="en-US" w:eastAsia="zh-CN" w:bidi="ar-SA"/>
    </w:rPr>
  </w:style>
  <w:style w:type="paragraph" w:styleId="6">
    <w:name w:val="heading 4"/>
    <w:next w:val="3"/>
    <w:link w:val="42"/>
    <w:semiHidden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7">
    <w:name w:val="heading 5"/>
    <w:next w:val="3"/>
    <w:link w:val="43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val="en-US" w:eastAsia="zh-CN" w:bidi="ar-SA"/>
    </w:rPr>
  </w:style>
  <w:style w:type="paragraph" w:styleId="8">
    <w:name w:val="heading 6"/>
    <w:next w:val="3"/>
    <w:link w:val="44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val="en-US" w:eastAsia="zh-CN" w:bidi="ar-SA"/>
    </w:rPr>
  </w:style>
  <w:style w:type="paragraph" w:styleId="9">
    <w:name w:val="heading 7"/>
    <w:next w:val="3"/>
    <w:link w:val="4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val="en-US" w:eastAsia="zh-CN" w:bidi="ar-SA"/>
    </w:rPr>
  </w:style>
  <w:style w:type="paragraph" w:styleId="10">
    <w:name w:val="heading 8"/>
    <w:next w:val="3"/>
    <w:link w:val="46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11">
    <w:name w:val="heading 9"/>
    <w:next w:val="3"/>
    <w:link w:val="47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val="en-US" w:eastAsia="zh-CN" w:bidi="ar-SA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annotation text"/>
    <w:basedOn w:val="1"/>
    <w:link w:val="91"/>
    <w:qFormat/>
    <w:uiPriority w:val="0"/>
  </w:style>
  <w:style w:type="paragraph" w:styleId="14">
    <w:name w:val="Block Text"/>
    <w:basedOn w:val="3"/>
    <w:next w:val="3"/>
    <w:unhideWhenUsed/>
    <w:qFormat/>
    <w:uiPriority w:val="9"/>
    <w:pPr>
      <w:ind w:left="480" w:right="48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</w:rPr>
  </w:style>
  <w:style w:type="paragraph" w:styleId="16">
    <w:name w:val="Title"/>
    <w:next w:val="3"/>
    <w:qFormat/>
    <w:uiPriority w:val="10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"/>
      <w:sz w:val="36"/>
      <w:szCs w:val="24"/>
      <w:lang w:val="en-US" w:eastAsia="zh-CN" w:bidi="ar-SA"/>
    </w:rPr>
  </w:style>
  <w:style w:type="paragraph" w:styleId="17">
    <w:name w:val="Balloon Text"/>
    <w:basedOn w:val="1"/>
    <w:link w:val="94"/>
    <w:qFormat/>
    <w:uiPriority w:val="0"/>
    <w:pPr>
      <w:spacing w:after="0"/>
    </w:pPr>
    <w:rPr>
      <w:sz w:val="18"/>
      <w:szCs w:val="18"/>
    </w:rPr>
  </w:style>
  <w:style w:type="paragraph" w:styleId="18">
    <w:name w:val="footer"/>
    <w:basedOn w:val="1"/>
    <w:link w:val="99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9">
    <w:name w:val="header"/>
    <w:basedOn w:val="1"/>
    <w:link w:val="9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Subtitle"/>
    <w:next w:val="3"/>
    <w:qFormat/>
    <w:uiPriority w:val="11"/>
    <w:pPr>
      <w:widowControl w:val="0"/>
      <w:adjustRightInd w:val="0"/>
      <w:spacing w:before="100" w:after="100"/>
      <w:jc w:val="center"/>
    </w:pPr>
    <w:rPr>
      <w:rFonts w:ascii="Times New Roman" w:hAnsi="Times New Roman" w:eastAsia="黑体" w:cs="Times New Roman"/>
      <w:kern w:val="28"/>
      <w:sz w:val="32"/>
      <w:szCs w:val="24"/>
      <w:lang w:val="en-US" w:eastAsia="zh-CN" w:bidi="ar-SA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annotation subject"/>
    <w:basedOn w:val="13"/>
    <w:next w:val="13"/>
    <w:link w:val="92"/>
    <w:qFormat/>
    <w:uiPriority w:val="0"/>
    <w:rPr>
      <w:b/>
      <w:bCs/>
    </w:rPr>
  </w:style>
  <w:style w:type="table" w:styleId="24">
    <w:name w:val="Table Grid"/>
    <w:basedOn w:val="23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FollowedHyperlink"/>
    <w:basedOn w:val="25"/>
    <w:uiPriority w:val="0"/>
    <w:rPr>
      <w:color w:val="800080"/>
      <w:u w:val="single"/>
    </w:rPr>
  </w:style>
  <w:style w:type="character" w:styleId="27">
    <w:name w:val="Hyperlink"/>
    <w:basedOn w:val="28"/>
    <w:qFormat/>
    <w:uiPriority w:val="0"/>
    <w:rPr>
      <w:color w:val="4874CB" w:themeColor="accent1"/>
    </w:rPr>
  </w:style>
  <w:style w:type="character" w:customStyle="1" w:styleId="28">
    <w:name w:val="正文文本 字符"/>
    <w:basedOn w:val="25"/>
    <w:qFormat/>
    <w:uiPriority w:val="0"/>
  </w:style>
  <w:style w:type="character" w:styleId="29">
    <w:name w:val="annotation reference"/>
    <w:basedOn w:val="25"/>
    <w:qFormat/>
    <w:uiPriority w:val="0"/>
    <w:rPr>
      <w:sz w:val="21"/>
      <w:szCs w:val="21"/>
    </w:rPr>
  </w:style>
  <w:style w:type="character" w:styleId="30">
    <w:name w:val="footnote reference"/>
    <w:basedOn w:val="28"/>
    <w:uiPriority w:val="0"/>
    <w:rPr>
      <w:vertAlign w:val="superscript"/>
    </w:rPr>
  </w:style>
  <w:style w:type="paragraph" w:customStyle="1" w:styleId="31">
    <w:name w:val="First Paragraph"/>
    <w:basedOn w:val="3"/>
    <w:next w:val="3"/>
    <w:qFormat/>
    <w:uiPriority w:val="0"/>
  </w:style>
  <w:style w:type="paragraph" w:customStyle="1" w:styleId="32">
    <w:name w:val="Compact"/>
    <w:basedOn w:val="3"/>
    <w:qFormat/>
    <w:uiPriority w:val="0"/>
    <w:pPr>
      <w:spacing w:before="36" w:after="36"/>
    </w:pPr>
  </w:style>
  <w:style w:type="character" w:customStyle="1" w:styleId="33">
    <w:name w:val="标题 字符"/>
    <w:basedOn w:val="2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4">
    <w:name w:val="副标题 字符"/>
    <w:basedOn w:val="2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5">
    <w:name w:val="Author"/>
    <w:basedOn w:val="16"/>
    <w:next w:val="3"/>
    <w:qFormat/>
    <w:uiPriority w:val="0"/>
    <w:pPr>
      <w:keepNext/>
      <w:keepLines/>
    </w:pPr>
    <w:rPr>
      <w:sz w:val="24"/>
    </w:rPr>
  </w:style>
  <w:style w:type="paragraph" w:customStyle="1" w:styleId="36">
    <w:name w:val="Abstract Title"/>
    <w:basedOn w:val="1"/>
    <w:next w:val="3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8">
    <w:name w:val="书目1"/>
    <w:basedOn w:val="1"/>
    <w:qFormat/>
    <w:uiPriority w:val="0"/>
  </w:style>
  <w:style w:type="character" w:customStyle="1" w:styleId="39">
    <w:name w:val="标题 1 Char"/>
    <w:basedOn w:val="25"/>
    <w:link w:val="2"/>
    <w:qFormat/>
    <w:uiPriority w:val="9"/>
    <w:rPr>
      <w:rFonts w:ascii="Times New Roman" w:hAnsi="Times New Roman" w:eastAsia="Heiti SC Medium" w:cs="Times New Roman"/>
      <w:color w:val="000000"/>
      <w:kern w:val="44"/>
      <w:sz w:val="32"/>
      <w:szCs w:val="44"/>
    </w:rPr>
  </w:style>
  <w:style w:type="character" w:customStyle="1" w:styleId="40">
    <w:name w:val="标题 2 字符"/>
    <w:basedOn w:val="25"/>
    <w:semiHidden/>
    <w:qFormat/>
    <w:uiPriority w:val="9"/>
    <w:rPr>
      <w:rFonts w:asciiTheme="majorHAnsi" w:hAnsiTheme="majorHAnsi" w:eastAsiaTheme="majorEastAsia" w:cstheme="majorBidi"/>
      <w:color w:val="2D54A0" w:themeColor="accent1" w:themeShade="BF"/>
      <w:sz w:val="32"/>
      <w:szCs w:val="32"/>
    </w:rPr>
  </w:style>
  <w:style w:type="character" w:customStyle="1" w:styleId="41">
    <w:name w:val="标题 3 字符"/>
    <w:basedOn w:val="25"/>
    <w:semiHidden/>
    <w:qFormat/>
    <w:uiPriority w:val="9"/>
    <w:rPr>
      <w:rFonts w:eastAsiaTheme="majorEastAsia" w:cstheme="majorBidi"/>
      <w:color w:val="2D54A0" w:themeColor="accent1" w:themeShade="BF"/>
      <w:sz w:val="28"/>
      <w:szCs w:val="28"/>
    </w:rPr>
  </w:style>
  <w:style w:type="character" w:customStyle="1" w:styleId="42">
    <w:name w:val="标题 4 Char"/>
    <w:basedOn w:val="25"/>
    <w:link w:val="6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3">
    <w:name w:val="标题 5 Char"/>
    <w:basedOn w:val="25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44">
    <w:name w:val="标题 6 Char"/>
    <w:basedOn w:val="25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45">
    <w:name w:val="标题 7 Char"/>
    <w:basedOn w:val="25"/>
    <w:link w:val="9"/>
    <w:semiHidden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46">
    <w:name w:val="标题 8 Char"/>
    <w:basedOn w:val="25"/>
    <w:link w:val="10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47">
    <w:name w:val="标题 9 Char"/>
    <w:basedOn w:val="25"/>
    <w:link w:val="11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paragraph" w:customStyle="1" w:styleId="48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0">
    <w:name w:val="Definition Term"/>
    <w:basedOn w:val="1"/>
    <w:next w:val="51"/>
    <w:qFormat/>
    <w:uiPriority w:val="0"/>
    <w:pPr>
      <w:keepNext/>
      <w:keepLines/>
      <w:spacing w:after="0"/>
    </w:pPr>
    <w:rPr>
      <w:b/>
    </w:rPr>
  </w:style>
  <w:style w:type="paragraph" w:customStyle="1" w:styleId="51">
    <w:name w:val="Definition"/>
    <w:basedOn w:val="1"/>
    <w:qFormat/>
    <w:uiPriority w:val="0"/>
  </w:style>
  <w:style w:type="paragraph" w:customStyle="1" w:styleId="52">
    <w:name w:val="Table Caption"/>
    <w:basedOn w:val="12"/>
    <w:uiPriority w:val="0"/>
    <w:pPr>
      <w:keepNext/>
    </w:pPr>
  </w:style>
  <w:style w:type="paragraph" w:customStyle="1" w:styleId="53">
    <w:name w:val="Image Caption"/>
    <w:basedOn w:val="12"/>
    <w:qFormat/>
    <w:uiPriority w:val="0"/>
  </w:style>
  <w:style w:type="paragraph" w:customStyle="1" w:styleId="54">
    <w:name w:val="Figure"/>
    <w:basedOn w:val="1"/>
    <w:qFormat/>
    <w:uiPriority w:val="0"/>
  </w:style>
  <w:style w:type="paragraph" w:customStyle="1" w:styleId="55">
    <w:name w:val="Captioned Figure"/>
    <w:basedOn w:val="54"/>
    <w:uiPriority w:val="0"/>
    <w:pPr>
      <w:keepNext/>
    </w:pPr>
  </w:style>
  <w:style w:type="character" w:customStyle="1" w:styleId="56">
    <w:name w:val="Verbatim Char"/>
    <w:basedOn w:val="28"/>
    <w:link w:val="57"/>
    <w:uiPriority w:val="0"/>
    <w:rPr>
      <w:rFonts w:ascii="Consolas" w:hAnsi="Consolas"/>
      <w:sz w:val="22"/>
    </w:rPr>
  </w:style>
  <w:style w:type="paragraph" w:customStyle="1" w:styleId="57">
    <w:name w:val="Source Code"/>
    <w:basedOn w:val="1"/>
    <w:link w:val="56"/>
    <w:qFormat/>
    <w:uiPriority w:val="0"/>
    <w:pPr>
      <w:wordWrap w:val="0"/>
    </w:pPr>
  </w:style>
  <w:style w:type="character" w:customStyle="1" w:styleId="58">
    <w:name w:val="Section Number"/>
    <w:basedOn w:val="28"/>
    <w:qFormat/>
    <w:uiPriority w:val="0"/>
  </w:style>
  <w:style w:type="paragraph" w:customStyle="1" w:styleId="5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60">
    <w:name w:val="KeywordTok"/>
    <w:basedOn w:val="56"/>
    <w:qFormat/>
    <w:uiPriority w:val="0"/>
    <w:rPr>
      <w:rFonts w:ascii="Consolas" w:hAnsi="Consolas"/>
      <w:b/>
      <w:color w:val="007020"/>
      <w:sz w:val="22"/>
    </w:rPr>
  </w:style>
  <w:style w:type="character" w:customStyle="1" w:styleId="61">
    <w:name w:val="DataTypeTok"/>
    <w:basedOn w:val="56"/>
    <w:qFormat/>
    <w:uiPriority w:val="0"/>
    <w:rPr>
      <w:rFonts w:ascii="Consolas" w:hAnsi="Consolas"/>
      <w:color w:val="902000"/>
      <w:sz w:val="22"/>
    </w:rPr>
  </w:style>
  <w:style w:type="character" w:customStyle="1" w:styleId="62">
    <w:name w:val="DecValTok"/>
    <w:basedOn w:val="56"/>
    <w:qFormat/>
    <w:uiPriority w:val="0"/>
    <w:rPr>
      <w:rFonts w:ascii="Consolas" w:hAnsi="Consolas"/>
      <w:color w:val="40A070"/>
      <w:sz w:val="22"/>
    </w:rPr>
  </w:style>
  <w:style w:type="character" w:customStyle="1" w:styleId="63">
    <w:name w:val="BaseNTok"/>
    <w:basedOn w:val="56"/>
    <w:qFormat/>
    <w:uiPriority w:val="0"/>
    <w:rPr>
      <w:rFonts w:ascii="Consolas" w:hAnsi="Consolas"/>
      <w:color w:val="40A070"/>
      <w:sz w:val="22"/>
    </w:rPr>
  </w:style>
  <w:style w:type="character" w:customStyle="1" w:styleId="64">
    <w:name w:val="FloatTok"/>
    <w:basedOn w:val="56"/>
    <w:qFormat/>
    <w:uiPriority w:val="0"/>
    <w:rPr>
      <w:rFonts w:ascii="Consolas" w:hAnsi="Consolas"/>
      <w:color w:val="40A070"/>
      <w:sz w:val="22"/>
    </w:rPr>
  </w:style>
  <w:style w:type="character" w:customStyle="1" w:styleId="65">
    <w:name w:val="ConstantTok"/>
    <w:basedOn w:val="56"/>
    <w:qFormat/>
    <w:uiPriority w:val="0"/>
    <w:rPr>
      <w:rFonts w:ascii="Consolas" w:hAnsi="Consolas"/>
      <w:color w:val="880000"/>
      <w:sz w:val="22"/>
    </w:rPr>
  </w:style>
  <w:style w:type="character" w:customStyle="1" w:styleId="66">
    <w:name w:val="CharTok"/>
    <w:basedOn w:val="56"/>
    <w:qFormat/>
    <w:uiPriority w:val="0"/>
    <w:rPr>
      <w:rFonts w:ascii="Consolas" w:hAnsi="Consolas"/>
      <w:color w:val="4070A0"/>
      <w:sz w:val="22"/>
    </w:rPr>
  </w:style>
  <w:style w:type="character" w:customStyle="1" w:styleId="67">
    <w:name w:val="SpecialCharTok"/>
    <w:basedOn w:val="56"/>
    <w:qFormat/>
    <w:uiPriority w:val="0"/>
    <w:rPr>
      <w:rFonts w:ascii="Consolas" w:hAnsi="Consolas"/>
      <w:color w:val="4070A0"/>
      <w:sz w:val="22"/>
    </w:rPr>
  </w:style>
  <w:style w:type="character" w:customStyle="1" w:styleId="68">
    <w:name w:val="StringTok"/>
    <w:basedOn w:val="56"/>
    <w:qFormat/>
    <w:uiPriority w:val="0"/>
    <w:rPr>
      <w:rFonts w:ascii="Consolas" w:hAnsi="Consolas"/>
      <w:color w:val="4070A0"/>
      <w:sz w:val="22"/>
    </w:rPr>
  </w:style>
  <w:style w:type="character" w:customStyle="1" w:styleId="69">
    <w:name w:val="VerbatimStringTok"/>
    <w:basedOn w:val="56"/>
    <w:qFormat/>
    <w:uiPriority w:val="0"/>
    <w:rPr>
      <w:rFonts w:ascii="Consolas" w:hAnsi="Consolas"/>
      <w:color w:val="4070A0"/>
      <w:sz w:val="22"/>
    </w:rPr>
  </w:style>
  <w:style w:type="character" w:customStyle="1" w:styleId="70">
    <w:name w:val="SpecialStringTok"/>
    <w:basedOn w:val="56"/>
    <w:qFormat/>
    <w:uiPriority w:val="0"/>
    <w:rPr>
      <w:rFonts w:ascii="Consolas" w:hAnsi="Consolas"/>
      <w:color w:val="BB6688"/>
      <w:sz w:val="22"/>
    </w:rPr>
  </w:style>
  <w:style w:type="character" w:customStyle="1" w:styleId="71">
    <w:name w:val="ImportTok"/>
    <w:basedOn w:val="56"/>
    <w:qFormat/>
    <w:uiPriority w:val="0"/>
    <w:rPr>
      <w:rFonts w:ascii="Consolas" w:hAnsi="Consolas"/>
      <w:b/>
      <w:color w:val="008000"/>
      <w:sz w:val="22"/>
    </w:rPr>
  </w:style>
  <w:style w:type="character" w:customStyle="1" w:styleId="72">
    <w:name w:val="CommentTok"/>
    <w:basedOn w:val="56"/>
    <w:qFormat/>
    <w:uiPriority w:val="0"/>
    <w:rPr>
      <w:rFonts w:ascii="Consolas" w:hAnsi="Consolas"/>
      <w:i/>
      <w:color w:val="60A0B0"/>
      <w:sz w:val="22"/>
    </w:rPr>
  </w:style>
  <w:style w:type="character" w:customStyle="1" w:styleId="73">
    <w:name w:val="DocumentationTok"/>
    <w:basedOn w:val="56"/>
    <w:qFormat/>
    <w:uiPriority w:val="0"/>
    <w:rPr>
      <w:rFonts w:ascii="Consolas" w:hAnsi="Consolas"/>
      <w:i/>
      <w:color w:val="BA2121"/>
      <w:sz w:val="22"/>
    </w:rPr>
  </w:style>
  <w:style w:type="character" w:customStyle="1" w:styleId="74">
    <w:name w:val="AnnotationTok"/>
    <w:basedOn w:val="5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CommentVarTok"/>
    <w:basedOn w:val="56"/>
    <w:uiPriority w:val="0"/>
    <w:rPr>
      <w:rFonts w:ascii="Consolas" w:hAnsi="Consolas"/>
      <w:b/>
      <w:i/>
      <w:color w:val="60A0B0"/>
      <w:sz w:val="22"/>
    </w:rPr>
  </w:style>
  <w:style w:type="character" w:customStyle="1" w:styleId="76">
    <w:name w:val="OtherTok"/>
    <w:basedOn w:val="56"/>
    <w:qFormat/>
    <w:uiPriority w:val="0"/>
    <w:rPr>
      <w:rFonts w:ascii="Consolas" w:hAnsi="Consolas"/>
      <w:color w:val="007020"/>
      <w:sz w:val="22"/>
    </w:rPr>
  </w:style>
  <w:style w:type="character" w:customStyle="1" w:styleId="77">
    <w:name w:val="FunctionTok"/>
    <w:basedOn w:val="56"/>
    <w:uiPriority w:val="0"/>
    <w:rPr>
      <w:rFonts w:ascii="Consolas" w:hAnsi="Consolas"/>
      <w:color w:val="06287E"/>
      <w:sz w:val="22"/>
    </w:rPr>
  </w:style>
  <w:style w:type="character" w:customStyle="1" w:styleId="78">
    <w:name w:val="VariableTok"/>
    <w:basedOn w:val="56"/>
    <w:qFormat/>
    <w:uiPriority w:val="0"/>
    <w:rPr>
      <w:rFonts w:ascii="Consolas" w:hAnsi="Consolas"/>
      <w:color w:val="19177C"/>
      <w:sz w:val="22"/>
    </w:rPr>
  </w:style>
  <w:style w:type="character" w:customStyle="1" w:styleId="79">
    <w:name w:val="ControlFlowTok"/>
    <w:basedOn w:val="56"/>
    <w:qFormat/>
    <w:uiPriority w:val="0"/>
    <w:rPr>
      <w:rFonts w:ascii="Consolas" w:hAnsi="Consolas"/>
      <w:b/>
      <w:color w:val="007020"/>
      <w:sz w:val="22"/>
    </w:rPr>
  </w:style>
  <w:style w:type="character" w:customStyle="1" w:styleId="80">
    <w:name w:val="OperatorTok"/>
    <w:basedOn w:val="56"/>
    <w:qFormat/>
    <w:uiPriority w:val="0"/>
    <w:rPr>
      <w:rFonts w:ascii="Consolas" w:hAnsi="Consolas"/>
      <w:color w:val="666666"/>
      <w:sz w:val="22"/>
    </w:rPr>
  </w:style>
  <w:style w:type="character" w:customStyle="1" w:styleId="81">
    <w:name w:val="BuiltInTok"/>
    <w:basedOn w:val="56"/>
    <w:qFormat/>
    <w:uiPriority w:val="0"/>
    <w:rPr>
      <w:rFonts w:ascii="Consolas" w:hAnsi="Consolas"/>
      <w:color w:val="008000"/>
      <w:sz w:val="22"/>
    </w:rPr>
  </w:style>
  <w:style w:type="character" w:customStyle="1" w:styleId="82">
    <w:name w:val="ExtensionTok"/>
    <w:basedOn w:val="56"/>
    <w:qFormat/>
    <w:uiPriority w:val="0"/>
    <w:rPr>
      <w:rFonts w:ascii="Consolas" w:hAnsi="Consolas"/>
      <w:sz w:val="22"/>
    </w:rPr>
  </w:style>
  <w:style w:type="character" w:customStyle="1" w:styleId="83">
    <w:name w:val="PreprocessorTok"/>
    <w:basedOn w:val="56"/>
    <w:uiPriority w:val="0"/>
    <w:rPr>
      <w:rFonts w:ascii="Consolas" w:hAnsi="Consolas"/>
      <w:color w:val="BC7A00"/>
      <w:sz w:val="22"/>
    </w:rPr>
  </w:style>
  <w:style w:type="character" w:customStyle="1" w:styleId="84">
    <w:name w:val="AttributeTok"/>
    <w:basedOn w:val="56"/>
    <w:qFormat/>
    <w:uiPriority w:val="0"/>
    <w:rPr>
      <w:rFonts w:ascii="Consolas" w:hAnsi="Consolas"/>
      <w:color w:val="7D9029"/>
      <w:sz w:val="22"/>
    </w:rPr>
  </w:style>
  <w:style w:type="character" w:customStyle="1" w:styleId="85">
    <w:name w:val="RegionMarkerTok"/>
    <w:basedOn w:val="56"/>
    <w:uiPriority w:val="0"/>
    <w:rPr>
      <w:rFonts w:ascii="Consolas" w:hAnsi="Consolas"/>
      <w:sz w:val="22"/>
    </w:rPr>
  </w:style>
  <w:style w:type="character" w:customStyle="1" w:styleId="86">
    <w:name w:val="InformationTok"/>
    <w:basedOn w:val="56"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WarningTok"/>
    <w:basedOn w:val="56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8">
    <w:name w:val="AlertTok"/>
    <w:basedOn w:val="56"/>
    <w:qFormat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ErrorTok"/>
    <w:basedOn w:val="56"/>
    <w:qFormat/>
    <w:uiPriority w:val="0"/>
    <w:rPr>
      <w:rFonts w:ascii="Consolas" w:hAnsi="Consolas"/>
      <w:b/>
      <w:color w:val="FF0000"/>
      <w:sz w:val="22"/>
    </w:rPr>
  </w:style>
  <w:style w:type="character" w:customStyle="1" w:styleId="90">
    <w:name w:val="NormalTok"/>
    <w:basedOn w:val="56"/>
    <w:qFormat/>
    <w:uiPriority w:val="0"/>
    <w:rPr>
      <w:rFonts w:ascii="Consolas" w:hAnsi="Consolas"/>
      <w:sz w:val="22"/>
    </w:rPr>
  </w:style>
  <w:style w:type="character" w:customStyle="1" w:styleId="91">
    <w:name w:val="批注文字 Char"/>
    <w:basedOn w:val="25"/>
    <w:link w:val="13"/>
    <w:qFormat/>
    <w:uiPriority w:val="0"/>
    <w:rPr>
      <w:sz w:val="24"/>
      <w:szCs w:val="24"/>
    </w:rPr>
  </w:style>
  <w:style w:type="character" w:customStyle="1" w:styleId="92">
    <w:name w:val="批注主题 Char"/>
    <w:basedOn w:val="91"/>
    <w:link w:val="22"/>
    <w:qFormat/>
    <w:uiPriority w:val="0"/>
    <w:rPr>
      <w:b/>
      <w:bCs/>
      <w:sz w:val="24"/>
      <w:szCs w:val="24"/>
    </w:rPr>
  </w:style>
  <w:style w:type="paragraph" w:customStyle="1" w:styleId="93">
    <w:name w:val="题注1"/>
    <w:next w:val="1"/>
    <w:qFormat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94">
    <w:name w:val="批注框文本 Char"/>
    <w:basedOn w:val="25"/>
    <w:link w:val="17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paragraph" w:customStyle="1" w:styleId="95">
    <w:name w:val="Revision"/>
    <w:hidden/>
    <w:unhideWhenUsed/>
    <w:qFormat/>
    <w:uiPriority w:val="99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96">
    <w:name w:val="Unresolved Mention1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7">
    <w:name w:val="Unresolved Mention2"/>
    <w:basedOn w:val="2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8">
    <w:name w:val="页眉 Char"/>
    <w:basedOn w:val="25"/>
    <w:link w:val="19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99">
    <w:name w:val="页脚 Char"/>
    <w:basedOn w:val="25"/>
    <w:link w:val="18"/>
    <w:qFormat/>
    <w:uiPriority w:val="0"/>
    <w:rPr>
      <w:rFonts w:asciiTheme="minorHAnsi" w:hAnsiTheme="minorHAnsi" w:eastAsiaTheme="minorEastAsia" w:cstheme="minorBid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6EF2AA81-F3A6-4BEB-ABE2-2EE6C8E6B9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2096</Words>
  <Characters>2323</Characters>
  <Lines>31</Lines>
  <Paragraphs>8</Paragraphs>
  <TotalTime>249</TotalTime>
  <ScaleCrop>false</ScaleCrop>
  <LinksUpToDate>false</LinksUpToDate>
  <CharactersWithSpaces>2360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2026-03-01T14:37:00Z</dcterms:created>
  <dc:creator>amao</dc:creator>
  <cp:lastModifiedBy>张宸熙</cp:lastModifiedBy>
  <dcterms:modified xsi:type="dcterms:W3CDTF">2026-09-10T12:55:11Z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9D86A85114690D7F283C7469427339DD_42</vt:lpwstr>
  </property>
  <property fmtid="{D5CDD505-2E9C-101B-9397-08002B2CF9AE}" pid="4" name="KSOTemplateDocerSaveRecord">
    <vt:lpwstr>eyJoZGlkIjoiM2NkOTI0ZDhmNjhiMjNkOTRjOWYzYzI4N2E3NTgzNWMiLCJ1c2VySWQiOiIxNzE0NDU1NjUyIn0=</vt:lpwstr>
  </property>
</Properties>
</file>