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9F7F8">
      <w:pPr>
        <w:widowControl/>
        <w:spacing w:after="312" w:afterLines="100" w:line="0" w:lineRule="atLeast"/>
        <w:jc w:val="center"/>
        <w:rPr>
          <w:rFonts w:asciiTheme="minorEastAsia" w:hAnsiTheme="minorEastAsia" w:eastAsiaTheme="minorEastAsia"/>
          <w:b/>
          <w:color w:val="000000"/>
          <w:kern w:val="0"/>
          <w:sz w:val="36"/>
          <w:szCs w:val="36"/>
        </w:rPr>
      </w:pPr>
      <w:r>
        <w:rPr>
          <w:rFonts w:hint="eastAsia" w:asciiTheme="minorEastAsia" w:hAnsiTheme="minorEastAsia" w:eastAsiaTheme="minorEastAsia"/>
          <w:b/>
          <w:bCs/>
          <w:color w:val="000000"/>
          <w:kern w:val="0"/>
          <w:sz w:val="36"/>
          <w:szCs w:val="36"/>
        </w:rPr>
        <w:t>对方当事人送达地址及相关信息确认书</w:t>
      </w:r>
    </w:p>
    <w:tbl>
      <w:tblPr>
        <w:tblStyle w:val="5"/>
        <w:tblW w:w="9043"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530"/>
        <w:gridCol w:w="3547"/>
        <w:gridCol w:w="992"/>
        <w:gridCol w:w="2974"/>
      </w:tblGrid>
      <w:tr w14:paraId="4B899094">
        <w:trPr>
          <w:trHeight w:val="946" w:hRule="exact"/>
          <w:jc w:val="center"/>
        </w:trPr>
        <w:tc>
          <w:tcPr>
            <w:tcW w:w="1530" w:type="dxa"/>
            <w:tcMar>
              <w:top w:w="0" w:type="dxa"/>
              <w:left w:w="108" w:type="dxa"/>
              <w:bottom w:w="0" w:type="dxa"/>
              <w:right w:w="108" w:type="dxa"/>
            </w:tcMar>
          </w:tcPr>
          <w:p w14:paraId="12616F4F">
            <w:pPr>
              <w:widowControl/>
              <w:spacing w:line="315" w:lineRule="atLeast"/>
              <w:jc w:val="center"/>
              <w:rPr>
                <w:rFonts w:hint="eastAsia" w:eastAsia="仿宋_GB2312"/>
                <w:kern w:val="0"/>
              </w:rPr>
            </w:pPr>
          </w:p>
          <w:p w14:paraId="1549EE18">
            <w:pPr>
              <w:widowControl/>
              <w:spacing w:line="315" w:lineRule="atLeast"/>
              <w:jc w:val="center"/>
              <w:rPr>
                <w:rFonts w:eastAsia="仿宋_GB2312"/>
                <w:kern w:val="0"/>
              </w:rPr>
            </w:pPr>
            <w:r>
              <w:rPr>
                <w:rFonts w:eastAsia="仿宋_GB2312"/>
                <w:kern w:val="0"/>
              </w:rPr>
              <w:t>案号</w:t>
            </w:r>
          </w:p>
        </w:tc>
        <w:tc>
          <w:tcPr>
            <w:tcW w:w="3547" w:type="dxa"/>
            <w:tcMar>
              <w:top w:w="0" w:type="dxa"/>
              <w:left w:w="108" w:type="dxa"/>
              <w:bottom w:w="0" w:type="dxa"/>
              <w:right w:w="108" w:type="dxa"/>
            </w:tcMar>
          </w:tcPr>
          <w:p w14:paraId="177DB4E2">
            <w:pPr>
              <w:widowControl/>
              <w:spacing w:line="315" w:lineRule="atLeast"/>
              <w:jc w:val="left"/>
              <w:rPr>
                <w:rFonts w:eastAsia="仿宋_GB2312"/>
                <w:kern w:val="0"/>
              </w:rPr>
            </w:pPr>
            <w:r>
              <w:t>{{case_number}}</w:t>
            </w:r>
          </w:p>
        </w:tc>
        <w:tc>
          <w:tcPr>
            <w:tcW w:w="992" w:type="dxa"/>
            <w:vAlign w:val="center"/>
          </w:tcPr>
          <w:p w14:paraId="163E481D">
            <w:pPr>
              <w:widowControl/>
              <w:spacing w:line="315" w:lineRule="atLeast"/>
              <w:jc w:val="center"/>
              <w:rPr>
                <w:rFonts w:eastAsia="仿宋_GB2312"/>
                <w:kern w:val="0"/>
              </w:rPr>
            </w:pPr>
            <w:r>
              <w:rPr>
                <w:rFonts w:eastAsia="仿宋_GB2312"/>
                <w:kern w:val="0"/>
              </w:rPr>
              <w:t>案由</w:t>
            </w:r>
          </w:p>
        </w:tc>
        <w:tc>
          <w:tcPr>
            <w:tcW w:w="2974" w:type="dxa"/>
          </w:tcPr>
          <w:p w14:paraId="0DD199A1">
            <w:pPr>
              <w:widowControl/>
              <w:spacing w:line="315" w:lineRule="atLeast"/>
              <w:jc w:val="left"/>
              <w:rPr>
                <w:rFonts w:eastAsia="仿宋_GB2312"/>
                <w:kern w:val="0"/>
              </w:rPr>
            </w:pPr>
            <w:r>
              <w:t>{{case_cause}}</w:t>
            </w:r>
          </w:p>
        </w:tc>
      </w:tr>
      <w:tr w14:paraId="30C846AB">
        <w:trPr>
          <w:trHeight w:val="3641" w:hRule="atLeast"/>
          <w:jc w:val="center"/>
        </w:trPr>
        <w:tc>
          <w:tcPr>
            <w:tcW w:w="1530" w:type="dxa"/>
            <w:tcMar>
              <w:top w:w="0" w:type="dxa"/>
              <w:left w:w="108" w:type="dxa"/>
              <w:bottom w:w="0" w:type="dxa"/>
              <w:right w:w="108" w:type="dxa"/>
            </w:tcMar>
          </w:tcPr>
          <w:p w14:paraId="7EFB2176">
            <w:pPr>
              <w:widowControl/>
              <w:spacing w:line="315" w:lineRule="atLeast"/>
              <w:rPr>
                <w:rFonts w:eastAsia="仿宋_GB2312"/>
                <w:kern w:val="0"/>
              </w:rPr>
            </w:pPr>
          </w:p>
          <w:p w14:paraId="3481F436">
            <w:pPr>
              <w:widowControl/>
              <w:spacing w:line="315" w:lineRule="atLeast"/>
              <w:rPr>
                <w:rFonts w:eastAsia="仿宋_GB2312"/>
                <w:kern w:val="0"/>
              </w:rPr>
            </w:pPr>
          </w:p>
          <w:p w14:paraId="2FD84B06">
            <w:pPr>
              <w:widowControl/>
              <w:spacing w:line="315" w:lineRule="atLeast"/>
              <w:ind w:firstLine="525" w:firstLineChars="250"/>
              <w:rPr>
                <w:rFonts w:eastAsia="仿宋_GB2312"/>
                <w:kern w:val="0"/>
              </w:rPr>
            </w:pPr>
            <w:r>
              <w:rPr>
                <w:rFonts w:eastAsia="仿宋_GB2312"/>
                <w:kern w:val="0"/>
              </w:rPr>
              <w:t>告</w:t>
            </w:r>
          </w:p>
          <w:p w14:paraId="01AF5F8B">
            <w:pPr>
              <w:widowControl/>
              <w:spacing w:line="315" w:lineRule="atLeast"/>
              <w:jc w:val="center"/>
              <w:rPr>
                <w:rFonts w:eastAsia="仿宋_GB2312"/>
                <w:kern w:val="0"/>
              </w:rPr>
            </w:pPr>
          </w:p>
          <w:p w14:paraId="2B5DD77B">
            <w:pPr>
              <w:widowControl/>
              <w:spacing w:line="315" w:lineRule="atLeast"/>
              <w:jc w:val="center"/>
              <w:rPr>
                <w:rFonts w:eastAsia="仿宋_GB2312"/>
                <w:kern w:val="0"/>
              </w:rPr>
            </w:pPr>
            <w:r>
              <w:rPr>
                <w:rFonts w:eastAsia="仿宋_GB2312"/>
                <w:kern w:val="0"/>
              </w:rPr>
              <w:t>知</w:t>
            </w:r>
          </w:p>
          <w:p w14:paraId="2FAEB103">
            <w:pPr>
              <w:widowControl/>
              <w:spacing w:line="315" w:lineRule="atLeast"/>
              <w:jc w:val="center"/>
              <w:rPr>
                <w:rFonts w:eastAsia="仿宋_GB2312"/>
                <w:kern w:val="0"/>
              </w:rPr>
            </w:pPr>
          </w:p>
          <w:p w14:paraId="1076AC3E">
            <w:pPr>
              <w:widowControl/>
              <w:spacing w:line="315" w:lineRule="atLeast"/>
              <w:jc w:val="center"/>
              <w:rPr>
                <w:rFonts w:eastAsia="仿宋_GB2312"/>
                <w:kern w:val="0"/>
              </w:rPr>
            </w:pPr>
            <w:r>
              <w:rPr>
                <w:rFonts w:eastAsia="仿宋_GB2312"/>
                <w:kern w:val="0"/>
              </w:rPr>
              <w:t>事</w:t>
            </w:r>
          </w:p>
          <w:p w14:paraId="2962CF86">
            <w:pPr>
              <w:widowControl/>
              <w:spacing w:line="315" w:lineRule="atLeast"/>
              <w:jc w:val="center"/>
              <w:rPr>
                <w:rFonts w:eastAsia="仿宋_GB2312"/>
                <w:kern w:val="0"/>
              </w:rPr>
            </w:pPr>
          </w:p>
          <w:p w14:paraId="79BBB145">
            <w:pPr>
              <w:widowControl/>
              <w:spacing w:line="315" w:lineRule="atLeast"/>
              <w:jc w:val="center"/>
              <w:rPr>
                <w:rFonts w:eastAsia="仿宋_GB2312"/>
                <w:kern w:val="0"/>
              </w:rPr>
            </w:pPr>
            <w:r>
              <w:rPr>
                <w:rFonts w:eastAsia="仿宋_GB2312"/>
                <w:kern w:val="0"/>
              </w:rPr>
              <w:t>项</w:t>
            </w:r>
          </w:p>
        </w:tc>
        <w:tc>
          <w:tcPr>
            <w:tcW w:w="7513" w:type="dxa"/>
            <w:gridSpan w:val="3"/>
            <w:tcMar>
              <w:top w:w="0" w:type="dxa"/>
              <w:left w:w="108" w:type="dxa"/>
              <w:bottom w:w="0" w:type="dxa"/>
              <w:right w:w="108" w:type="dxa"/>
            </w:tcMar>
          </w:tcPr>
          <w:p w14:paraId="065404D0">
            <w:pPr>
              <w:widowControl/>
              <w:spacing w:line="315" w:lineRule="atLeast"/>
              <w:rPr>
                <w:rFonts w:eastAsia="仿宋_GB2312"/>
                <w:b/>
                <w:bCs/>
                <w:kern w:val="0"/>
              </w:rPr>
            </w:pPr>
            <w:r>
              <w:rPr>
                <w:rFonts w:hint="eastAsia" w:eastAsia="仿宋_GB2312"/>
                <w:kern w:val="0"/>
              </w:rPr>
              <w:t>一、</w:t>
            </w:r>
            <w:r>
              <w:rPr>
                <w:rFonts w:eastAsia="仿宋_GB2312"/>
                <w:kern w:val="0"/>
              </w:rPr>
              <w:t>为方便当事人及其诉讼代理人及时接收人民法院诉讼文书，保障诉讼程序顺利进行，当事人或者其诉讼代理人应当</w:t>
            </w:r>
            <w:r>
              <w:rPr>
                <w:rFonts w:eastAsia="仿宋_GB2312"/>
                <w:b/>
                <w:bCs/>
                <w:kern w:val="0"/>
              </w:rPr>
              <w:t>如实填写</w:t>
            </w:r>
            <w:r>
              <w:rPr>
                <w:rFonts w:eastAsia="仿宋_GB2312"/>
                <w:kern w:val="0"/>
              </w:rPr>
              <w:t>本确认书的有关事项；</w:t>
            </w:r>
            <w:r>
              <w:rPr>
                <w:rFonts w:eastAsia="仿宋_GB2312"/>
                <w:bCs/>
                <w:kern w:val="0"/>
              </w:rPr>
              <w:t>填写的事项如有变更</w:t>
            </w:r>
            <w:r>
              <w:rPr>
                <w:rFonts w:hint="eastAsia" w:eastAsia="仿宋_GB2312"/>
                <w:bCs/>
                <w:kern w:val="0"/>
              </w:rPr>
              <w:t>或当事人更换诉讼代理人</w:t>
            </w:r>
            <w:r>
              <w:rPr>
                <w:rFonts w:eastAsia="仿宋_GB2312"/>
                <w:bCs/>
                <w:kern w:val="0"/>
              </w:rPr>
              <w:t>，应当及时</w:t>
            </w:r>
            <w:r>
              <w:rPr>
                <w:rFonts w:hint="eastAsia" w:eastAsia="仿宋_GB2312"/>
                <w:bCs/>
                <w:kern w:val="0"/>
              </w:rPr>
              <w:t>书面</w:t>
            </w:r>
            <w:r>
              <w:rPr>
                <w:rFonts w:eastAsia="仿宋_GB2312"/>
                <w:bCs/>
                <w:kern w:val="0"/>
              </w:rPr>
              <w:t>告知人民法院</w:t>
            </w:r>
            <w:r>
              <w:rPr>
                <w:rFonts w:hint="eastAsia" w:eastAsia="仿宋_GB2312"/>
                <w:bCs/>
                <w:kern w:val="0"/>
              </w:rPr>
              <w:t>并重新填写送达地址确认书</w:t>
            </w:r>
            <w:r>
              <w:rPr>
                <w:rFonts w:eastAsia="仿宋_GB2312"/>
                <w:bCs/>
                <w:kern w:val="0"/>
              </w:rPr>
              <w:t>；不及时</w:t>
            </w:r>
            <w:r>
              <w:rPr>
                <w:rFonts w:hint="eastAsia" w:eastAsia="仿宋_GB2312"/>
                <w:bCs/>
                <w:kern w:val="0"/>
              </w:rPr>
              <w:t>书面</w:t>
            </w:r>
            <w:r>
              <w:rPr>
                <w:rFonts w:eastAsia="仿宋_GB2312"/>
                <w:bCs/>
                <w:kern w:val="0"/>
              </w:rPr>
              <w:t>告知</w:t>
            </w:r>
            <w:r>
              <w:rPr>
                <w:rFonts w:hint="eastAsia" w:eastAsia="仿宋_GB2312"/>
                <w:bCs/>
                <w:kern w:val="0"/>
              </w:rPr>
              <w:t>或重新填写</w:t>
            </w:r>
            <w:r>
              <w:rPr>
                <w:rFonts w:eastAsia="仿宋_GB2312"/>
                <w:bCs/>
                <w:kern w:val="0"/>
              </w:rPr>
              <w:t>，导致诉讼文书无法送达或者未能及时送达的，当事人自行承担由此可能产生的法律后果。</w:t>
            </w:r>
          </w:p>
          <w:p w14:paraId="2705EE3F">
            <w:pPr>
              <w:widowControl/>
              <w:spacing w:line="315" w:lineRule="atLeast"/>
              <w:rPr>
                <w:rFonts w:eastAsia="仿宋_GB2312"/>
                <w:bCs/>
                <w:kern w:val="0"/>
              </w:rPr>
            </w:pPr>
            <w:r>
              <w:rPr>
                <w:rFonts w:hint="eastAsia" w:eastAsia="仿宋_GB2312"/>
                <w:bCs/>
                <w:kern w:val="0"/>
              </w:rPr>
              <w:t>二、根据《最高人民法院关于依据原告起诉时提供的被告住址无法送达应如何处理问题的批复》的规定，告知如下：</w:t>
            </w:r>
          </w:p>
          <w:p w14:paraId="174F8183">
            <w:pPr>
              <w:widowControl/>
              <w:spacing w:line="315" w:lineRule="atLeast"/>
              <w:rPr>
                <w:rFonts w:eastAsia="仿宋_GB2312"/>
                <w:bCs/>
                <w:kern w:val="0"/>
              </w:rPr>
            </w:pPr>
            <w:r>
              <w:rPr>
                <w:rFonts w:hint="eastAsia" w:eastAsia="仿宋_GB2312"/>
                <w:bCs/>
                <w:kern w:val="0"/>
              </w:rPr>
              <w:t>1.法院依据原告起诉时所提供的被告住址无法直接送达或留置送达，原告应当补充材料；</w:t>
            </w:r>
          </w:p>
          <w:p w14:paraId="69D362D9">
            <w:pPr>
              <w:widowControl/>
              <w:spacing w:line="315" w:lineRule="atLeast"/>
              <w:rPr>
                <w:rFonts w:eastAsia="仿宋_GB2312"/>
                <w:bCs/>
                <w:kern w:val="0"/>
              </w:rPr>
            </w:pPr>
            <w:r>
              <w:rPr>
                <w:rFonts w:hint="eastAsia" w:eastAsia="仿宋_GB2312"/>
                <w:bCs/>
                <w:kern w:val="0"/>
              </w:rPr>
              <w:t>2.原告因客观原因不能补充或者依据原告补充的材料仍不能确定被告住址的，法院应当依法向被告公告送达诉讼文书。</w:t>
            </w:r>
          </w:p>
          <w:p w14:paraId="090115E0">
            <w:pPr>
              <w:widowControl/>
              <w:spacing w:line="315" w:lineRule="atLeast"/>
              <w:rPr>
                <w:rFonts w:eastAsia="仿宋_GB2312"/>
                <w:b/>
                <w:bCs/>
                <w:kern w:val="0"/>
              </w:rPr>
            </w:pPr>
          </w:p>
        </w:tc>
      </w:tr>
      <w:tr w14:paraId="42210AF0">
        <w:trPr>
          <w:cantSplit/>
          <w:trHeight w:val="3979" w:hRule="atLeast"/>
          <w:jc w:val="center"/>
        </w:trPr>
        <w:tc>
          <w:tcPr>
            <w:tcW w:w="1530" w:type="dxa"/>
            <w:tcMar>
              <w:top w:w="0" w:type="dxa"/>
              <w:left w:w="108" w:type="dxa"/>
              <w:bottom w:w="0" w:type="dxa"/>
              <w:right w:w="108" w:type="dxa"/>
            </w:tcMar>
            <w:vAlign w:val="center"/>
          </w:tcPr>
          <w:p w14:paraId="16DE5CE2">
            <w:pPr>
              <w:rPr>
                <w:rFonts w:eastAsia="仿宋_GB2312"/>
                <w:kern w:val="3"/>
              </w:rPr>
            </w:pPr>
            <w:r>
              <w:rPr>
                <w:rFonts w:hint="eastAsia" w:eastAsia="仿宋_GB2312"/>
                <w:kern w:val="3"/>
              </w:rPr>
              <w:t>被告（被申请人）的送达地址</w:t>
            </w:r>
          </w:p>
        </w:tc>
        <w:tc>
          <w:tcPr>
            <w:tcW w:w="7513" w:type="dxa"/>
            <w:gridSpan w:val="3"/>
            <w:tcMar>
              <w:top w:w="0" w:type="dxa"/>
              <w:left w:w="108" w:type="dxa"/>
              <w:bottom w:w="0" w:type="dxa"/>
              <w:right w:w="108" w:type="dxa"/>
            </w:tcMar>
          </w:tcPr>
          <w:p w14:paraId="06A776B7">
            <w:pPr>
              <w:widowControl/>
              <w:jc w:val="left"/>
              <w:rPr>
                <w:rFonts w:eastAsia="仿宋_GB2312"/>
                <w:b/>
                <w:bCs/>
                <w:kern w:val="0"/>
                <w:szCs w:val="21"/>
              </w:rPr>
            </w:pPr>
            <w:r>
              <w:rPr>
                <w:rFonts w:hint="eastAsia" w:ascii="仿宋" w:hAnsi="仿宋" w:eastAsia="仿宋" w:cs="仿宋"/>
                <w:b/>
                <w:bCs/>
                <w:kern w:val="0"/>
                <w:szCs w:val="21"/>
              </w:rPr>
              <w:t>{{案件对方当事人信息}}</w:t>
            </w:r>
          </w:p>
        </w:tc>
      </w:tr>
      <w:tr w14:paraId="44CC5EA2">
        <w:trPr>
          <w:cantSplit/>
          <w:trHeight w:val="2395" w:hRule="atLeast"/>
          <w:jc w:val="center"/>
        </w:trPr>
        <w:tc>
          <w:tcPr>
            <w:tcW w:w="1530" w:type="dxa"/>
            <w:tcMar>
              <w:top w:w="0" w:type="dxa"/>
              <w:left w:w="108" w:type="dxa"/>
              <w:bottom w:w="0" w:type="dxa"/>
              <w:right w:w="108" w:type="dxa"/>
            </w:tcMar>
            <w:textDirection w:val="tbRlV"/>
            <w:vAlign w:val="center"/>
          </w:tcPr>
          <w:p w14:paraId="1F86F4CA">
            <w:pPr>
              <w:widowControl/>
              <w:ind w:left="113" w:right="113"/>
              <w:jc w:val="center"/>
              <w:rPr>
                <w:rFonts w:eastAsia="仿宋_GB2312"/>
                <w:b/>
                <w:bCs/>
                <w:kern w:val="0"/>
                <w:sz w:val="28"/>
                <w:szCs w:val="28"/>
              </w:rPr>
            </w:pPr>
            <w:r>
              <w:rPr>
                <w:rFonts w:eastAsia="仿宋_GB2312"/>
                <w:b/>
                <w:bCs/>
                <w:kern w:val="0"/>
                <w:sz w:val="28"/>
                <w:szCs w:val="28"/>
              </w:rPr>
              <w:t>签名确认</w:t>
            </w:r>
          </w:p>
        </w:tc>
        <w:tc>
          <w:tcPr>
            <w:tcW w:w="7513" w:type="dxa"/>
            <w:gridSpan w:val="3"/>
            <w:tcMar>
              <w:top w:w="0" w:type="dxa"/>
              <w:left w:w="108" w:type="dxa"/>
              <w:bottom w:w="0" w:type="dxa"/>
              <w:right w:w="108" w:type="dxa"/>
            </w:tcMar>
          </w:tcPr>
          <w:p w14:paraId="0E69E199">
            <w:pPr>
              <w:widowControl/>
              <w:ind w:firstLine="422" w:firstLineChars="200"/>
              <w:jc w:val="left"/>
              <w:rPr>
                <w:rFonts w:hint="eastAsia" w:eastAsia="仿宋_GB2312"/>
                <w:b/>
                <w:bCs/>
                <w:kern w:val="0"/>
                <w:szCs w:val="21"/>
              </w:rPr>
            </w:pPr>
            <w:r>
              <w:rPr>
                <w:rFonts w:eastAsia="仿宋_GB2312"/>
                <w:b/>
                <w:bCs/>
                <w:kern w:val="0"/>
                <w:szCs w:val="21"/>
              </w:rPr>
              <w:t>我</w:t>
            </w:r>
            <w:r>
              <w:rPr>
                <w:rFonts w:hint="eastAsia" w:eastAsia="仿宋_GB2312"/>
                <w:b/>
                <w:bCs/>
                <w:kern w:val="0"/>
                <w:szCs w:val="21"/>
              </w:rPr>
              <w:t>方</w:t>
            </w:r>
            <w:r>
              <w:rPr>
                <w:rFonts w:eastAsia="仿宋_GB2312"/>
                <w:b/>
                <w:bCs/>
                <w:kern w:val="0"/>
                <w:szCs w:val="21"/>
              </w:rPr>
              <w:t>已经阅读了</w:t>
            </w:r>
            <w:r>
              <w:rPr>
                <w:rFonts w:hint="eastAsia" w:eastAsia="仿宋_GB2312"/>
                <w:b/>
                <w:bCs/>
                <w:kern w:val="0"/>
                <w:szCs w:val="21"/>
              </w:rPr>
              <w:t>对方当事人填写送达地址</w:t>
            </w:r>
            <w:r>
              <w:rPr>
                <w:rFonts w:eastAsia="仿宋_GB2312"/>
                <w:b/>
                <w:bCs/>
                <w:kern w:val="0"/>
                <w:szCs w:val="21"/>
              </w:rPr>
              <w:t>确认书的告知事项，</w:t>
            </w:r>
            <w:r>
              <w:rPr>
                <w:rFonts w:hint="eastAsia" w:eastAsia="仿宋_GB2312"/>
                <w:b/>
                <w:bCs/>
                <w:kern w:val="0"/>
                <w:szCs w:val="21"/>
              </w:rPr>
              <w:t>并保证上述送达地址真实、有效。我方确认，被告（被申请人）的上述地址为我方在力所能及范围内找到的所有地址，如果该地址仍然无法送达，原告（申请人）请求法院直接进行公告送达。</w:t>
            </w:r>
          </w:p>
          <w:p w14:paraId="73DBDB19">
            <w:pPr>
              <w:widowControl/>
              <w:ind w:firstLine="422" w:firstLineChars="200"/>
              <w:jc w:val="left"/>
              <w:rPr>
                <w:rFonts w:hint="eastAsia" w:eastAsia="仿宋_GB2312"/>
                <w:b/>
                <w:bCs/>
                <w:kern w:val="0"/>
                <w:szCs w:val="21"/>
              </w:rPr>
            </w:pPr>
            <w:bookmarkStart w:id="0" w:name="_GoBack"/>
            <w:bookmarkEnd w:id="0"/>
          </w:p>
          <w:p w14:paraId="19B01F33">
            <w:pPr>
              <w:rPr>
                <w:rFonts w:hint="eastAsia" w:eastAsiaTheme="minorEastAsia"/>
                <w:b/>
                <w:bCs/>
                <w:szCs w:val="21"/>
              </w:rPr>
            </w:pPr>
            <w:r>
              <w:rPr>
                <w:rFonts w:hint="eastAsia" w:eastAsiaTheme="minorEastAsia"/>
                <w:b/>
                <w:bCs/>
                <w:szCs w:val="21"/>
              </w:rPr>
              <w:t>{{我方当事人签名盖章信息}}</w:t>
            </w:r>
          </w:p>
          <w:p w14:paraId="19D1C156">
            <w:pPr>
              <w:rPr>
                <w:rFonts w:eastAsia="仿宋_GB2312"/>
                <w:szCs w:val="21"/>
              </w:rPr>
            </w:pPr>
            <w:r>
              <w:rPr>
                <w:rFonts w:hint="eastAsia" w:eastAsiaTheme="minorEastAsia"/>
                <w:b/>
                <w:bCs/>
                <w:szCs w:val="21"/>
              </w:rPr>
              <w:t>{{律师签名信息}}</w:t>
            </w:r>
          </w:p>
        </w:tc>
      </w:tr>
      <w:tr w14:paraId="29529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4" w:hRule="atLeast"/>
          <w:jc w:val="center"/>
        </w:trPr>
        <w:tc>
          <w:tcPr>
            <w:tcW w:w="9043" w:type="dxa"/>
            <w:gridSpan w:val="4"/>
            <w:tcBorders>
              <w:left w:val="single" w:color="auto" w:sz="8" w:space="0"/>
              <w:bottom w:val="single" w:color="auto" w:sz="8" w:space="0"/>
              <w:right w:val="single" w:color="auto" w:sz="8" w:space="0"/>
            </w:tcBorders>
            <w:vAlign w:val="center"/>
          </w:tcPr>
          <w:p w14:paraId="577515AA">
            <w:pPr>
              <w:rPr>
                <w:rFonts w:eastAsia="仿宋_GB2312"/>
                <w:kern w:val="3"/>
              </w:rPr>
            </w:pPr>
            <w:r>
              <w:rPr>
                <w:rFonts w:hint="eastAsia" w:eastAsia="仿宋_GB2312"/>
                <w:kern w:val="3"/>
              </w:rPr>
              <w:t>备注</w:t>
            </w:r>
            <w:r>
              <w:rPr>
                <w:rFonts w:eastAsia="仿宋_GB2312"/>
                <w:kern w:val="3"/>
              </w:rPr>
              <w:t>：</w:t>
            </w:r>
          </w:p>
        </w:tc>
      </w:tr>
    </w:tbl>
    <w:p w14:paraId="13DFD3E3"/>
    <w:sectPr>
      <w:pgSz w:w="11906" w:h="16838"/>
      <w:pgMar w:top="1418" w:right="1797" w:bottom="1418"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仿宋_GB2312">
    <w:altName w:val="方正仿宋_GBK"/>
    <w:panose1 w:val="02010609030101010101"/>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42A"/>
    <w:rsid w:val="00040CA2"/>
    <w:rsid w:val="00090F9C"/>
    <w:rsid w:val="00125A4E"/>
    <w:rsid w:val="001403A1"/>
    <w:rsid w:val="00173270"/>
    <w:rsid w:val="001955BA"/>
    <w:rsid w:val="00196392"/>
    <w:rsid w:val="00196EE8"/>
    <w:rsid w:val="001B3E17"/>
    <w:rsid w:val="001C0E5F"/>
    <w:rsid w:val="00222732"/>
    <w:rsid w:val="00240E48"/>
    <w:rsid w:val="00282D69"/>
    <w:rsid w:val="002A05F8"/>
    <w:rsid w:val="002A6BD3"/>
    <w:rsid w:val="002C5080"/>
    <w:rsid w:val="00302C4C"/>
    <w:rsid w:val="00304CF3"/>
    <w:rsid w:val="0030778D"/>
    <w:rsid w:val="0031619E"/>
    <w:rsid w:val="003562CE"/>
    <w:rsid w:val="00392261"/>
    <w:rsid w:val="00393471"/>
    <w:rsid w:val="003A02E0"/>
    <w:rsid w:val="003C5F94"/>
    <w:rsid w:val="003E3B35"/>
    <w:rsid w:val="003F5978"/>
    <w:rsid w:val="00403EFA"/>
    <w:rsid w:val="004411D2"/>
    <w:rsid w:val="004745A9"/>
    <w:rsid w:val="00480D30"/>
    <w:rsid w:val="00486B3D"/>
    <w:rsid w:val="004D7610"/>
    <w:rsid w:val="005537CD"/>
    <w:rsid w:val="005A2C13"/>
    <w:rsid w:val="005C0870"/>
    <w:rsid w:val="005C23BA"/>
    <w:rsid w:val="005D55AD"/>
    <w:rsid w:val="005E0801"/>
    <w:rsid w:val="00625E5E"/>
    <w:rsid w:val="00631070"/>
    <w:rsid w:val="00631874"/>
    <w:rsid w:val="0064032A"/>
    <w:rsid w:val="006570CF"/>
    <w:rsid w:val="00662743"/>
    <w:rsid w:val="00665E3A"/>
    <w:rsid w:val="00687909"/>
    <w:rsid w:val="0069641F"/>
    <w:rsid w:val="006B39E1"/>
    <w:rsid w:val="006B7ACC"/>
    <w:rsid w:val="00733262"/>
    <w:rsid w:val="007650A4"/>
    <w:rsid w:val="0079017E"/>
    <w:rsid w:val="00791702"/>
    <w:rsid w:val="007925A8"/>
    <w:rsid w:val="0081624C"/>
    <w:rsid w:val="0082540E"/>
    <w:rsid w:val="008319B4"/>
    <w:rsid w:val="008413E8"/>
    <w:rsid w:val="00842BAD"/>
    <w:rsid w:val="00864C46"/>
    <w:rsid w:val="0089142A"/>
    <w:rsid w:val="00896EEF"/>
    <w:rsid w:val="008B7087"/>
    <w:rsid w:val="00925B46"/>
    <w:rsid w:val="009333A7"/>
    <w:rsid w:val="00941659"/>
    <w:rsid w:val="0099008C"/>
    <w:rsid w:val="0099427B"/>
    <w:rsid w:val="009A1B66"/>
    <w:rsid w:val="009C7B33"/>
    <w:rsid w:val="00A32790"/>
    <w:rsid w:val="00AB2C56"/>
    <w:rsid w:val="00AF3B7A"/>
    <w:rsid w:val="00B016C7"/>
    <w:rsid w:val="00B05841"/>
    <w:rsid w:val="00B24575"/>
    <w:rsid w:val="00B447D9"/>
    <w:rsid w:val="00BA2705"/>
    <w:rsid w:val="00BA7F4A"/>
    <w:rsid w:val="00BD1EE7"/>
    <w:rsid w:val="00BF1A4A"/>
    <w:rsid w:val="00C14756"/>
    <w:rsid w:val="00C349EB"/>
    <w:rsid w:val="00C50B40"/>
    <w:rsid w:val="00C611F3"/>
    <w:rsid w:val="00C822D5"/>
    <w:rsid w:val="00C830FC"/>
    <w:rsid w:val="00CC005D"/>
    <w:rsid w:val="00CD20A6"/>
    <w:rsid w:val="00CD5AAF"/>
    <w:rsid w:val="00CE0F64"/>
    <w:rsid w:val="00D01EFC"/>
    <w:rsid w:val="00D3183E"/>
    <w:rsid w:val="00D3743B"/>
    <w:rsid w:val="00D7479A"/>
    <w:rsid w:val="00D86FA6"/>
    <w:rsid w:val="00D87CE6"/>
    <w:rsid w:val="00DA474E"/>
    <w:rsid w:val="00DB6021"/>
    <w:rsid w:val="00DC083F"/>
    <w:rsid w:val="00DC1ADF"/>
    <w:rsid w:val="00DE308A"/>
    <w:rsid w:val="00E003C0"/>
    <w:rsid w:val="00E37E5E"/>
    <w:rsid w:val="00E71484"/>
    <w:rsid w:val="00E83744"/>
    <w:rsid w:val="00F01BB7"/>
    <w:rsid w:val="00F253A8"/>
    <w:rsid w:val="00F273D5"/>
    <w:rsid w:val="00F337EF"/>
    <w:rsid w:val="00F72ADC"/>
    <w:rsid w:val="00F84DDA"/>
    <w:rsid w:val="00FA3C08"/>
    <w:rsid w:val="00FB18E1"/>
    <w:rsid w:val="00FC07DA"/>
    <w:rsid w:val="00FD4ECE"/>
    <w:rsid w:val="00FF2129"/>
    <w:rsid w:val="6DAF1073"/>
    <w:rsid w:val="759826A5"/>
    <w:rsid w:val="77FEE00F"/>
    <w:rsid w:val="797F3CA5"/>
    <w:rsid w:val="7ABE8A99"/>
    <w:rsid w:val="7F7D8D81"/>
    <w:rsid w:val="EFAF47FF"/>
    <w:rsid w:val="FAFF80F1"/>
    <w:rsid w:val="FBBB62C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9"/>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uiPriority w:val="99"/>
    <w:rPr>
      <w:rFonts w:ascii="Times New Roman" w:hAnsi="Times New Roman" w:eastAsia="宋体" w:cs="Times New Roman"/>
      <w:sz w:val="18"/>
      <w:szCs w:val="18"/>
    </w:rPr>
  </w:style>
  <w:style w:type="character" w:customStyle="1" w:styleId="8">
    <w:name w:val="页脚 Char"/>
    <w:basedOn w:val="6"/>
    <w:link w:val="3"/>
    <w:uiPriority w:val="99"/>
    <w:rPr>
      <w:rFonts w:ascii="Times New Roman" w:hAnsi="Times New Roman" w:eastAsia="宋体" w:cs="Times New Roman"/>
      <w:sz w:val="18"/>
      <w:szCs w:val="18"/>
    </w:rPr>
  </w:style>
  <w:style w:type="character" w:customStyle="1" w:styleId="9">
    <w:name w:val="标题 2 Char"/>
    <w:basedOn w:val="6"/>
    <w:link w:val="2"/>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1</Pages>
  <Words>96</Words>
  <Characters>550</Characters>
  <Lines>4</Lines>
  <Paragraphs>1</Paragraphs>
  <TotalTime>8</TotalTime>
  <ScaleCrop>false</ScaleCrop>
  <LinksUpToDate>false</LinksUpToDate>
  <CharactersWithSpaces>645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2020-09-15T18:33:00Z</dcterms:created>
  <dc:creator>刘莹莹</dc:creator>
  <cp:lastModifiedBy>Lawyer</cp:lastModifiedBy>
  <cp:lastPrinted>2020-09-15T19:29:00Z</cp:lastPrinted>
  <dcterms:modified xsi:type="dcterms:W3CDTF">2026-04-06T16:19:44Z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09E92CBF3429519C970CC169F83B2652_42</vt:lpwstr>
  </property>
</Properties>
</file>