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rial Unicode MS" w:hAnsi="Arial Unicode MS" w:eastAsia="Arial Unicode MS" w:cs="Arial Unicode MS"/>
          <w:b/>
          <w:color w:val="2F6FED"/>
          <w:sz w:val="32"/>
        </w:rPr>
        <w:t>COUPAY</w:t>
      </w:r>
    </w:p>
    <w:p>
      <w:pPr>
        <w:spacing w:before="400"/>
        <w:jc w:val="center"/>
      </w:pPr>
      <w:r>
        <w:rPr>
          <w:rFonts w:ascii="Arial Unicode MS" w:hAnsi="Arial Unicode MS" w:eastAsia="Arial Unicode MS" w:cs="Arial Unicode MS"/>
          <w:b/>
          <w:color w:val="163A5F"/>
          <w:sz w:val="56"/>
        </w:rPr>
        <w:t>BDD + AI Web 自动化测试平台</w:t>
        <w:br/>
        <w:t>技术方案与演进设计</w:t>
      </w:r>
    </w:p>
    <w:p>
      <w:pPr>
        <w:spacing w:before="280"/>
        <w:jc w:val="center"/>
      </w:pPr>
      <w:r>
        <w:rPr>
          <w:rFonts w:ascii="Arial Unicode MS" w:hAnsi="Arial Unicode MS" w:eastAsia="Arial Unicode MS" w:cs="Arial Unicode MS"/>
          <w:i/>
        </w:rPr>
        <w:t>稳定现有 Playwright 录制/回放引擎 · Manual Case 自动化 · 自动保鲜与归因 · Skill/UI/模块拆分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63A5F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文档属性</w:t>
            </w:r>
          </w:p>
        </w:tc>
        <w:tc>
          <w:tcPr>
            <w:tcW w:type="dxa" w:w="4997"/>
            <w:shd w:fill="163A5F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状态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Proposal + Task 1 implementation baseline</w:t>
            </w:r>
          </w:p>
        </w:tc>
      </w:tr>
      <w:tr>
        <w:tc>
          <w:tcPr>
            <w:tcW w:type="dxa" w:w="4997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版本</w:t>
            </w:r>
          </w:p>
        </w:tc>
        <w:tc>
          <w:tcPr>
            <w:tcW w:type="dxa" w:w="4997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v1.0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日期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2026-08-17</w:t>
            </w:r>
          </w:p>
        </w:tc>
      </w:tr>
      <w:tr>
        <w:tc>
          <w:tcPr>
            <w:tcW w:type="dxa" w:w="4997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适用范围</w:t>
            </w:r>
          </w:p>
        </w:tc>
        <w:tc>
          <w:tcPr>
            <w:tcW w:type="dxa" w:w="4997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Coupay regression test / new feature / local web-test-recorder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核心决策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BDD 语义资产为源；受限 IR 为执行契约；AI 只提议，平台审批后落库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2FF"/>
          </w:tcPr>
          <w:p>
            <w:r>
              <w:rPr>
                <w:rFonts w:ascii="Arial Unicode MS" w:hAnsi="Arial Unicode MS" w:eastAsia="Arial Unicode MS" w:cs="Arial Unicode MS"/>
                <w:b/>
                <w:color w:val="163A5F"/>
              </w:rPr>
              <w:t>一句话结论：</w:t>
            </w:r>
            <w:r>
              <w:rPr>
                <w:rFonts w:ascii="Arial Unicode MS" w:hAnsi="Arial Unicode MS" w:eastAsia="Arial Unicode MS" w:cs="Arial Unicode MS"/>
              </w:rPr>
              <w:t>不要先遍历 Coupay 所有页面并持久化全部 DOM 元素。先建设“领域 Step Registry + 关键旅程 Seed + 运行时 A11y Snapshot”的渐进知识库；用 Playwright Generator/MCP 做实时元素验证，用平台版本与证据链管控 AI。</w:t>
            </w:r>
          </w:p>
        </w:tc>
      </w:tr>
    </w:tbl>
    <w:p/>
    <w:p>
      <w:r>
        <w:rPr>
          <w:rFonts w:ascii="Arial Unicode MS" w:hAnsi="Arial Unicode MS" w:eastAsia="Arial Unicode MS" w:cs="Arial Unicode MS"/>
        </w:rPr>
        <w:br w:type="page"/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执行摘要</w:t>
      </w:r>
    </w:p>
    <w:p>
      <w:r>
        <w:rPr>
          <w:rFonts w:ascii="Arial Unicode MS" w:hAnsi="Arial Unicode MS" w:eastAsia="Arial Unicode MS" w:cs="Arial Unicode MS"/>
        </w:rPr>
        <w:t>本方案分两条并行路径：短期先消除当前引擎的假通过和解析脆弱性；中期在现有 Plan → Suite → Case → Common Flow 模型上增加 BDD 语义层、AI Generator、Review Queue 与自动保鲜归因。现有录制平台不推倒重建，继续作为执行控制面与证据中心。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63A5F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3331"/>
            <w:shd w:fill="163A5F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本次结论</w:t>
            </w:r>
          </w:p>
        </w:tc>
        <w:tc>
          <w:tcPr>
            <w:tcW w:type="dxa" w:w="3331"/>
            <w:shd w:fill="163A5F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codegen parser 依赖字符串/逐行规则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改为 Acorn AST 提取语句，保留原有结构化映射与来源行列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P0</w:t>
            </w:r>
          </w:p>
        </w:tc>
      </w:tr>
      <w:tr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fallback locator 可能命中错误元素后 .first()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逐候选检查唯一性；歧义直接失败；记录实际候选来源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P0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断言易漏录/来源不可见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Inspector 断言指引 + action/assertion 来源 Badge + Web-first expect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P0</w:t>
            </w:r>
          </w:p>
        </w:tc>
      </w:tr>
      <w:tr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Manual BDD 到代码无统一中间契约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Gherkin AST → Domain Step DSL → Test IR → Playwright emitter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P1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自愈可能掩盖产品 Bug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证据优先归因；白名单 patch；支付副作用与断言弱化禁止自动应用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P0</w:t>
            </w:r>
          </w:p>
        </w:tc>
      </w:tr>
      <w:tr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代码集中于 server.js / app.js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按 domain/generator/runtime/adapters/UI/API 分包，渐进迁移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P1</w:t>
            </w:r>
          </w:p>
        </w:tc>
      </w:tr>
    </w:tbl>
    <w:p/>
    <w:p>
      <w:pPr>
        <w:pStyle w:val="Heading2"/>
      </w:pPr>
      <w:r>
        <w:rPr>
          <w:rFonts w:ascii="Arial Unicode MS" w:hAnsi="Arial Unicode MS" w:eastAsia="Arial Unicode MS" w:cs="Arial Unicode MS"/>
        </w:rPr>
        <w:t>建议路线图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0–2 周：完成 Task 1，锁定定位器、expect、来源、checkpoint 候选与回归测试。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3–6 周：BDD MVP——Gherkin 导入、Step Registry、确定性 IR 编译、Review Queue、Playwright Test 生成。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7–12 周：引入 MCP/Agent 验证、Coupay Knowledge Pack、自动保鲜批次与失败归因看板。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12 周后：受控 Healer、变更影响分析、线上只读/合成 baseline、质量度量闭环。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1. 现状判断与设计原则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1.1 现平台可复用能力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Plan → Suite → Case 严格层级、公共流程、版本历史与 Stable/Pinned 策略。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Playwright 原生录制与结构化无代码步骤双轨；JavaScript/Python 导出。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Trace、Video、Screenshot、网络异常与失败步骤记录。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代理、Locale、测试数据、Storage State、隔离 Context 与本地 AI 诊断。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Suite Setup/Teardown、Case Setup/Steps/Teardown 生命周期。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1.2 六条不可妥协原则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63A5F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原则</w:t>
            </w:r>
          </w:p>
        </w:tc>
        <w:tc>
          <w:tcPr>
            <w:tcW w:type="dxa" w:w="4997"/>
            <w:shd w:fill="163A5F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落地方式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语义与执行解耦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BDD 文本不能直接等于 Playwright 代码；中间必须有受版本管理的 Test IR。</w:t>
            </w:r>
          </w:p>
        </w:tc>
      </w:tr>
      <w:tr>
        <w:tc>
          <w:tcPr>
            <w:tcW w:type="dxa" w:w="4997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确定性优先</w:t>
            </w:r>
          </w:p>
        </w:tc>
        <w:tc>
          <w:tcPr>
            <w:tcW w:type="dxa" w:w="4997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Step Registry 命中时不调用 AI；AI 只解决新短语、歧义与页面映射。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证据优先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任何修复都要有 DOM/A11y/Trace/网络/版本差异证据。</w:t>
            </w:r>
          </w:p>
        </w:tc>
      </w:tr>
      <w:tr>
        <w:tc>
          <w:tcPr>
            <w:tcW w:type="dxa" w:w="4997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严格定位</w:t>
            </w:r>
          </w:p>
        </w:tc>
        <w:tc>
          <w:tcPr>
            <w:tcW w:type="dxa" w:w="4997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0 个元素等待；1 个元素执行；多于 1 个立即失败。fallback 不得合并后 first。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副作用保护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支付、绑卡、下单、退款等动作禁止自动重试和无人审批自愈。</w:t>
            </w:r>
          </w:p>
        </w:tc>
      </w:tr>
      <w:tr>
        <w:tc>
          <w:tcPr>
            <w:tcW w:type="dxa" w:w="4997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可追溯</w:t>
            </w:r>
          </w:p>
        </w:tc>
        <w:tc>
          <w:tcPr>
            <w:tcW w:type="dxa" w:w="4997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BDD 行 → IR step → locator/assertion → 代码行 → run artifact → fix patch 全链路可追踪。</w:t>
            </w:r>
          </w:p>
        </w:tc>
      </w:tr>
    </w:tbl>
    <w:p/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6309360" cy="36804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arget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80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 w:cs="Arial Unicode MS"/>
        </w:rPr>
        <w:t>图 1　目标总体架构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2. 任务一：先稳住现有引擎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2.1 AST 化 codegen parser</w:t>
      </w:r>
    </w:p>
    <w:p>
      <w:r>
        <w:rPr>
          <w:rFonts w:ascii="Arial Unicode MS" w:hAnsi="Arial Unicode MS" w:eastAsia="Arial Unicode MS" w:cs="Arial Unicode MS"/>
        </w:rPr>
        <w:t>目标不是让 AST 直接承担全部业务转换，而是用 AST 正确识别 JavaScript 语句边界，再把受支持的 Playwright 调用映射到现有结构化 Step。这样能处理多行链式调用、test(...) 包裹、精确来源位置，并对非法脚本给出明确行列。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63A5F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层</w:t>
            </w:r>
          </w:p>
        </w:tc>
        <w:tc>
          <w:tcPr>
            <w:tcW w:type="dxa" w:w="3331"/>
            <w:shd w:fill="163A5F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331"/>
            <w:shd w:fill="163A5F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失败策略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Acorn AST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解析 Module、定位 ExpressionStatement、保留 loc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语法无效时拒绝导入并报告行列</w:t>
            </w:r>
          </w:p>
        </w:tc>
      </w:tr>
      <w:tr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Playwright Call Mapper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goto/action/expect/frame/refinement → Step IR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不支持的合法表达式忽略，但不破坏后续语句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Embedded Marker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恢复平台高级结构化步骤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优先于 AST，保证 round-trip</w:t>
            </w:r>
          </w:p>
        </w:tc>
      </w:tr>
      <w:tr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Provenance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记录 recorded/action|assertion/parser/sourceLocation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保存到版本与执行记录</w:t>
            </w:r>
          </w:p>
        </w:tc>
      </w:tr>
    </w:tbl>
    <w:p/>
    <w:p>
      <w:pPr>
        <w:pStyle w:val="Heading2"/>
      </w:pPr>
      <w:r>
        <w:rPr>
          <w:rFonts w:ascii="Arial Unicode MS" w:hAnsi="Arial Unicode MS" w:eastAsia="Arial Unicode MS" w:cs="Arial Unicode MS"/>
        </w:rPr>
        <w:t>2.2 统一使用 Playwright Web-first expect</w:t>
      </w:r>
    </w:p>
    <w:p>
      <w:r>
        <w:rPr>
          <w:rFonts w:ascii="Arial Unicode MS" w:hAnsi="Arial Unicode MS" w:eastAsia="Arial Unicode MS" w:cs="Arial Unicode MS"/>
        </w:rPr>
        <w:t>结构化断言统一通过 Playwright expect 执行。toBeVisible、toHaveText、toHaveValue、toHaveURL 等会在超时内重新获取元素并重试，比“先读取值再同步 assert”更不易产生竞态。自定义运行时断言只保留下载文件名、弹窗消息、最近接口状态、提取变量等 Playwright 没有直接 Locator matcher 的类型。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2FF"/>
          </w:tcPr>
          <w:p>
            <w:r>
              <w:rPr>
                <w:rFonts w:ascii="Arial Unicode MS" w:hAnsi="Arial Unicode MS" w:eastAsia="Arial Unicode MS" w:cs="Arial Unicode MS"/>
                <w:b/>
                <w:color w:val="163A5F"/>
              </w:rPr>
              <w:t>超时策略：</w:t>
            </w:r>
            <w:r>
              <w:rPr>
                <w:rFonts w:ascii="Arial Unicode MS" w:hAnsi="Arial Unicode MS" w:eastAsia="Arial Unicode MS" w:cs="Arial Unicode MS"/>
              </w:rPr>
              <w:t>Assertion Timeout、Action Timeout、Navigation Timeout 分开配置；禁止用大量 waitForTimeout 代替状态条件。</w:t>
            </w:r>
          </w:p>
        </w:tc>
      </w:tr>
    </w:tbl>
    <w:p/>
    <w:p>
      <w:pPr>
        <w:pStyle w:val="Heading2"/>
      </w:pPr>
      <w:r>
        <w:rPr>
          <w:rFonts w:ascii="Arial Unicode MS" w:hAnsi="Arial Unicode MS" w:eastAsia="Arial Unicode MS" w:cs="Arial Unicode MS"/>
        </w:rPr>
        <w:t>2.3 修正 fallback locator 假通过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按顺序检查 primary 与 fallbacks 的匹配数量。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匹配 1 个：返回并记录 candidateType/candidateIndex。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匹配 &gt;1 个：抛出 LOCATOR_AMBIGUOUS，不允许 first()。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全部为 0：返回 primary，让 Playwright action/expect 的自动等待生效；不静默切换到未知元素。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只有录制本身显式产生 nth/first/last，或人工确认业务依赖顺序时，才允许位置精化。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2.4 断言录制 UI 与来源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63A5F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来源类型</w:t>
            </w:r>
          </w:p>
        </w:tc>
        <w:tc>
          <w:tcPr>
            <w:tcW w:type="dxa" w:w="3331"/>
            <w:shd w:fill="163A5F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UI Badge</w:t>
            </w:r>
          </w:p>
        </w:tc>
        <w:tc>
          <w:tcPr>
            <w:tcW w:type="dxa" w:w="3331"/>
            <w:shd w:fill="163A5F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执行含义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recorded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录制导入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来自 Playwright Inspector/codegen，带源码行列</w:t>
            </w:r>
          </w:p>
        </w:tc>
      </w:tr>
      <w:tr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manual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手工编辑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用户在无代码编辑器创建或修改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ai-suggested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AI 候选 / AI 已批准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候选默认不可执行；批准后进入新版本</w:t>
            </w:r>
          </w:p>
        </w:tc>
      </w:tr>
      <w:tr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generated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自动生成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确定性规则或 BDD 编译器生成，需记录 generator 版本</w:t>
            </w:r>
          </w:p>
        </w:tc>
      </w:tr>
    </w:tbl>
    <w:p/>
    <w:p>
      <w:r>
        <w:rPr>
          <w:rFonts w:ascii="Arial Unicode MS" w:hAnsi="Arial Unicode MS" w:eastAsia="Arial Unicode MS" w:cs="Arial Unicode MS"/>
        </w:rPr>
        <w:t>录制状态面板应显式告诉用户：在 Inspector 使用 Assert visibility / Assert text / Assert value，然后点击目标元素。平台导入后把 expect 识别为 assertion，并显示来源 Badge。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2.5 推荐“智能 checkpoint”流程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从动作、页面状态和已有 Then 提取候选观察点。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规则先生成高置信度候选：fill→toHaveValue、check→toBeChecked、goto→toHaveURL、wait visible→toBeVisible。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AI 只补充语义候选；输出必须符合 Assertion IR JSON Schema，不接受任意代码。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UI 展示理由、置信度、定位器、期望值和证据；用户“审核并加入”。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批准动作创建新 Case 版本、重新生成 JS/Python；候选和批准人保留审计记录。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63A5F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不应自动生成的断言</w:t>
            </w:r>
          </w:p>
        </w:tc>
        <w:tc>
          <w:tcPr>
            <w:tcW w:type="dxa" w:w="4997"/>
            <w:shd w:fill="163A5F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原因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页面上所有可见文本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噪声大、易随营销/国际化变化</w:t>
            </w:r>
          </w:p>
        </w:tc>
      </w:tr>
      <w:tr>
        <w:tc>
          <w:tcPr>
            <w:tcW w:type="dxa" w:w="4997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当前 DOM 的全量 Snapshot</w:t>
            </w:r>
          </w:p>
        </w:tc>
        <w:tc>
          <w:tcPr>
            <w:tcW w:type="dxa" w:w="4997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维护成本高，容易掩盖真正业务断言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仅为了让失败变绿而删除/弱化 Then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会把产品 Bug 变成假通过</w:t>
            </w:r>
          </w:p>
        </w:tc>
      </w:tr>
      <w:tr>
        <w:tc>
          <w:tcPr>
            <w:tcW w:type="dxa" w:w="4997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根据线上个人真实数据生成写操作断言</w:t>
            </w:r>
          </w:p>
        </w:tc>
        <w:tc>
          <w:tcPr>
            <w:tcW w:type="dxa" w:w="4997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隐私、数据污染与不可重复风险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 w:cs="Arial Unicode MS"/>
        </w:rPr>
        <w:t>3. BDD 架构：Manual Case 自动转 Automation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3.1 BDD 到现平台对象映射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63A5F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Gherkin</w:t>
            </w:r>
          </w:p>
        </w:tc>
        <w:tc>
          <w:tcPr>
            <w:tcW w:type="dxa" w:w="3331"/>
            <w:shd w:fill="163A5F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平台对象</w:t>
            </w:r>
          </w:p>
        </w:tc>
        <w:tc>
          <w:tcPr>
            <w:tcW w:type="dxa" w:w="3331"/>
            <w:shd w:fill="163A5F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Feature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Test Suite（推荐）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一个业务能力/功能域；其上层 Test Plan 表示回归批次或发布目标</w:t>
            </w:r>
          </w:p>
        </w:tc>
      </w:tr>
      <w:tr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Rule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Suite 内分组/标签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第一阶段用标签和章节；后续可增加 Rule 实体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Background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Suite Setup 或 Common Flow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只放所有 Scenario 共享的已知状态</w:t>
            </w:r>
          </w:p>
        </w:tc>
      </w:tr>
      <w:tr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Scenario / Example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Test Case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一条独立可执行业务示例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Scenario Outline + Examples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Case + Dataset Rows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同一语义步骤，多组数据参数化执行</w:t>
            </w:r>
          </w:p>
        </w:tc>
      </w:tr>
      <w:tr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Given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Setup / fixture / common flow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建立已知状态，避免混入 UI 实现细节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When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Action steps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用户或外部系统事件</w:t>
            </w:r>
          </w:p>
        </w:tc>
      </w:tr>
      <w:tr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Then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Assertion steps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必须对应用户/外部系统可观察输出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Tags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priority/tags/environment/risk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@P0、@regression、@destructive、@locale-ko</w:t>
            </w:r>
          </w:p>
        </w:tc>
      </w:tr>
    </w:tbl>
    <w:p/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6309360" cy="36804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dd_generation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80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 w:cs="Arial Unicode MS"/>
        </w:rPr>
        <w:t>图 2　BDD 生成自动化用例流程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3.2 受限 Test IR</w:t>
      </w:r>
    </w:p>
    <w:p>
      <w:r>
        <w:rPr>
          <w:rFonts w:ascii="Arial Unicode MS" w:hAnsi="Arial Unicode MS" w:eastAsia="Arial Unicode MS" w:cs="Arial Unicode MS"/>
        </w:rPr>
        <w:t>IR 是平台真正的执行契约。BDD 文本可修改措辞，Playwright API 可升级，但只要 IR Schema 稳定，版本、审批、回放和归因就不会被绑定到某个 LLM 或代码格式。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63A5F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IR 字段</w:t>
            </w:r>
          </w:p>
        </w:tc>
        <w:tc>
          <w:tcPr>
            <w:tcW w:type="dxa" w:w="3331"/>
            <w:shd w:fill="163A5F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3331"/>
            <w:shd w:fill="163A5F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semanticId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payment.submit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稳定领域步骤 ID</w:t>
            </w:r>
          </w:p>
        </w:tc>
      </w:tr>
      <w:tr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phase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when / then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BDD 语义与生命周期映射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operation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click / toHaveText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白名单动作或断言</w:t>
            </w:r>
          </w:p>
        </w:tc>
      </w:tr>
      <w:tr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locatorContract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role=button,name=支付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不保存短生命周期 MCP ref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dataBindings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amount ← dataset.amount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数据参数与 Secret 引用</w:t>
            </w:r>
          </w:p>
        </w:tc>
      </w:tr>
      <w:tr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risk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destructive / normal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重试和审批策略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origin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bdd-generated + source line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完整 lineage</w:t>
            </w:r>
          </w:p>
        </w:tc>
      </w:tr>
      <w:tr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evidencePolicy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screenshot + response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执行采证要求</w:t>
            </w:r>
          </w:p>
        </w:tc>
      </w:tr>
    </w:tbl>
    <w:p/>
    <w:p>
      <w:pPr>
        <w:pStyle w:val="Heading2"/>
      </w:pPr>
      <w:r>
        <w:rPr>
          <w:rFonts w:ascii="Arial Unicode MS" w:hAnsi="Arial Unicode MS" w:eastAsia="Arial Unicode MS" w:cs="Arial Unicode MS"/>
        </w:rPr>
        <w:t>3.3 AI Generator 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63A5F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331"/>
            <w:shd w:fill="163A5F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是否需要 AI</w:t>
            </w:r>
          </w:p>
        </w:tc>
        <w:tc>
          <w:tcPr>
            <w:tcW w:type="dxa" w:w="3331"/>
            <w:shd w:fill="163A5F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输出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Gherkin parse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否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官方 Gherkin AST/Pickle</w:t>
            </w:r>
          </w:p>
        </w:tc>
      </w:tr>
      <w:tr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短语模板命中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否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Registry semanticId + typed args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新短语归一化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是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候选 semanticId、参数、置信度</w:t>
            </w:r>
          </w:p>
        </w:tc>
      </w:tr>
      <w:tr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页面元素发现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是/运行时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基于 A11y Snapshot 的候选定位器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Locator 生成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Playwright MCP/Generator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role/label/testId 等长期 locator</w:t>
            </w:r>
          </w:p>
        </w:tc>
      </w:tr>
      <w:tr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断言生成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规则 + AI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Assertion IR 候选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代码生成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否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IR → Playwright Test 确定性 emitter</w:t>
            </w:r>
          </w:p>
        </w:tc>
      </w:tr>
      <w:tr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失败修复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是，但受限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白名单 JSON Patch + 证据</w:t>
            </w:r>
          </w:p>
        </w:tc>
      </w:tr>
    </w:tbl>
    <w:p/>
    <w:p>
      <w:pPr>
        <w:pStyle w:val="Heading2"/>
      </w:pPr>
      <w:r>
        <w:rPr>
          <w:rFonts w:ascii="Arial Unicode MS" w:hAnsi="Arial Unicode MS" w:eastAsia="Arial Unicode MS" w:cs="Arial Unicode MS"/>
        </w:rPr>
        <w:t>3.4 CLI / MCP / Agent / Codegen 能力边界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163A5F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2498"/>
            <w:shd w:fill="163A5F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适合场景</w:t>
            </w:r>
          </w:p>
        </w:tc>
        <w:tc>
          <w:tcPr>
            <w:tcW w:type="dxa" w:w="2498"/>
            <w:shd w:fill="163A5F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能否直接完成 BDD 转换</w:t>
            </w:r>
          </w:p>
        </w:tc>
        <w:tc>
          <w:tcPr>
            <w:tcW w:type="dxa" w:w="2498"/>
            <w:shd w:fill="163A5F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建议接入方式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Playwright Codegen/Inspector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人工探索和录制 action；可录 visibility/text/value 断言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否；不知道业务语义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继续作为人工录制入口，AST 导入平台</w:t>
            </w:r>
          </w:p>
        </w:tc>
      </w:tr>
      <w:tr>
        <w:tc>
          <w:tcPr>
            <w:tcW w:type="dxa" w:w="2498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Playwright MCP</w:t>
            </w:r>
          </w:p>
        </w:tc>
        <w:tc>
          <w:tcPr>
            <w:tcW w:type="dxa" w:w="2498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LLM 用 A11y Snapshot 操作页面；testing capability 可生成 locator/verify code</w:t>
            </w:r>
          </w:p>
        </w:tc>
        <w:tc>
          <w:tcPr>
            <w:tcW w:type="dxa" w:w="2498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部分；需要你自己的 BDD/IR/审批层</w:t>
            </w:r>
          </w:p>
        </w:tc>
        <w:tc>
          <w:tcPr>
            <w:tcW w:type="dxa" w:w="2498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用于低置信度步骤的实时元素验证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Playwright CLI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编码 Agent 低 token 的页面操作、调试与脚本执行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部分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在 Skill 中用于无 MCP 或批处理场景</w:t>
            </w:r>
          </w:p>
        </w:tc>
      </w:tr>
      <w:tr>
        <w:tc>
          <w:tcPr>
            <w:tcW w:type="dxa" w:w="2498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Planner Agent</w:t>
            </w:r>
          </w:p>
        </w:tc>
        <w:tc>
          <w:tcPr>
            <w:tcW w:type="dxa" w:w="2498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探索应用并产 Markdown test plan</w:t>
            </w:r>
          </w:p>
        </w:tc>
        <w:tc>
          <w:tcPr>
            <w:tcW w:type="dxa" w:w="2498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可作为补充，不是 Gherkin compiler</w:t>
            </w:r>
          </w:p>
        </w:tc>
        <w:tc>
          <w:tcPr>
            <w:tcW w:type="dxa" w:w="2498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把结果转为 BDD Draft，经评审后入库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Generator Agent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Markdown plan → 可执行 Playwright Test，现场验证 selector/assertion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可生成代码，但不自动符合平台对象/治理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作为 adapter；结果反解析或直接读取生成元数据</w:t>
            </w:r>
          </w:p>
        </w:tc>
      </w:tr>
      <w:tr>
        <w:tc>
          <w:tcPr>
            <w:tcW w:type="dxa" w:w="2498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Healer Agent</w:t>
            </w:r>
          </w:p>
        </w:tc>
        <w:tc>
          <w:tcPr>
            <w:tcW w:type="dxa" w:w="2498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重放失败、检查 UI、建议并验证修复</w:t>
            </w:r>
          </w:p>
        </w:tc>
        <w:tc>
          <w:tcPr>
            <w:tcW w:type="dxa" w:w="2498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不负责 BDD 建模</w:t>
            </w:r>
          </w:p>
        </w:tc>
        <w:tc>
          <w:tcPr>
            <w:tcW w:type="dxa" w:w="2498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在 Sandbox 运行，patch 回到平台 Review Queue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2FF"/>
          </w:tcPr>
          <w:p>
            <w:r>
              <w:rPr>
                <w:rFonts w:ascii="Arial Unicode MS" w:hAnsi="Arial Unicode MS" w:eastAsia="Arial Unicode MS" w:cs="Arial Unicode MS"/>
                <w:b/>
                <w:color w:val="163A5F"/>
              </w:rPr>
              <w:t>关键判断：</w:t>
            </w:r>
            <w:r>
              <w:rPr>
                <w:rFonts w:ascii="Arial Unicode MS" w:hAnsi="Arial Unicode MS" w:eastAsia="Arial Unicode MS" w:cs="Arial Unicode MS"/>
              </w:rPr>
              <w:t>Playwright 已具备 Planner/Generator/Healer、MCP testing assertions 与 Codegen 断言录制，但它们不是完整的企业 BDD 管理平台；对象映射、领域词汇、版本、数据、风险与审批仍需由当前平台提供。</w:t>
            </w:r>
          </w:p>
        </w:tc>
      </w:tr>
    </w:tbl>
    <w:p/>
    <w:p>
      <w:pPr>
        <w:pStyle w:val="Heading2"/>
      </w:pPr>
      <w:r>
        <w:rPr>
          <w:rFonts w:ascii="Arial Unicode MS" w:hAnsi="Arial Unicode MS" w:eastAsia="Arial Unicode MS" w:cs="Arial Unicode MS"/>
        </w:rPr>
        <w:t>3.5 是否需要 Coupay 知识库</w:t>
      </w:r>
    </w:p>
    <w:p>
      <w:r>
        <w:rPr>
          <w:rFonts w:ascii="Arial Unicode MS" w:hAnsi="Arial Unicode MS" w:eastAsia="Arial Unicode MS" w:cs="Arial Unicode MS"/>
        </w:rPr>
        <w:t>需要，但不是“爬完所有页面，把所有元素永久存起来”。全量元素库会快速过期，动态 ID、AB 实验、Locale、账号权限会造成爆炸。建议建设小而强的 Coupay Knowledge Pack：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Domain glossary：余额、绑卡、本人认证、支付方式、订单状态等中韩英同义词。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Step Registry：业务短语模板、参数类型、对应公共流程/IR、风险级别。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Journey seeds：登录、进入收银台、选择支付方式等可复用 Seed Test/Storage State。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Locator contracts：关键控件 testId/role/name 契约、页面 owner 与稳定性评分。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Data contracts：测试账号能力、数据工厂、可重复订单/余额/卡状态。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Change context：PRD、feature flag、route/API owner、最近代码变更与发布版本。</w:t>
      </w:r>
    </w:p>
    <w:p>
      <w:r>
        <w:rPr>
          <w:rFonts w:ascii="Arial Unicode MS" w:hAnsi="Arial Unicode MS" w:eastAsia="Arial Unicode MS" w:cs="Arial Unicode MS"/>
        </w:rPr>
        <w:t>页面元素应在生成或修复时通过 A11y Snapshot 实时发现，并把最终稳定 locator 与证据写回 Registry；短生命周期 MCP ref 只能用于当前会话，不能持久化。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4. 回放与自动 Fix Bugs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6309360" cy="36804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play_heal_cha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80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 w:cs="Arial Unicode MS"/>
        </w:rPr>
        <w:t>图 3　回放、诊断与受控自动修复链路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4.1 自动修复不是“自动让测试变绿”</w:t>
      </w:r>
    </w:p>
    <w:p>
      <w:r>
        <w:rPr>
          <w:rFonts w:ascii="Arial Unicode MS" w:hAnsi="Arial Unicode MS" w:eastAsia="Arial Unicode MS" w:cs="Arial Unicode MS"/>
        </w:rPr>
        <w:t>系统先生成 failure bundle，再分类，再决定是否可修测试资产。Healer 的成功标准应是“恢复原 BDD 意图并通过原 Then”，而不是“删掉失败断言”。每个修复必须保留 before/after、证据、风险、批准人、Sandbox 重跑结果和回滚版本。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63A5F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Patch 类型</w:t>
            </w:r>
          </w:p>
        </w:tc>
        <w:tc>
          <w:tcPr>
            <w:tcW w:type="dxa" w:w="3331"/>
            <w:shd w:fill="163A5F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默认策略</w:t>
            </w:r>
          </w:p>
        </w:tc>
        <w:tc>
          <w:tcPr>
            <w:tcW w:type="dxa" w:w="3331"/>
            <w:shd w:fill="163A5F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例子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Locator 精化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低风险可建议；唯一性验证后人工或策略审批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role=button + name=支付</w:t>
            </w:r>
          </w:p>
        </w:tc>
      </w:tr>
      <w:tr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Wait/timeout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低风险；必须改为状态等待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readiness=elementVisible，expect timeout 15s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Test data mapping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中风险；先验证数据契约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旧卡状态字段 → 新 fixture key</w:t>
            </w:r>
          </w:p>
        </w:tc>
      </w:tr>
      <w:tr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Flow 变化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中高风险；人工 Review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支付确认前新增本人认证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Then/expected value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高风险；禁止自动弱化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“支付成功”变成“处理中”</w:t>
            </w:r>
          </w:p>
        </w:tc>
      </w:tr>
      <w:tr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支付副作用步骤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高风险；禁止无人值守重试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submit/refund/bind card</w:t>
            </w:r>
          </w:p>
        </w:tc>
      </w:tr>
    </w:tbl>
    <w:p/>
    <w:p>
      <w:pPr>
        <w:pStyle w:val="Heading2"/>
      </w:pPr>
      <w:r>
        <w:rPr>
          <w:rFonts w:ascii="Arial Unicode MS" w:hAnsi="Arial Unicode MS" w:eastAsia="Arial Unicode MS" w:cs="Arial Unicode MS"/>
        </w:rPr>
        <w:t>4.2 Case 功能完善清单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63A5F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3331"/>
            <w:shd w:fill="163A5F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MVP</w:t>
            </w:r>
          </w:p>
        </w:tc>
        <w:tc>
          <w:tcPr>
            <w:tcW w:type="dxa" w:w="3331"/>
            <w:shd w:fill="163A5F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后续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BDD Tab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Feature/Scenario/GWT 编辑、语法检查、Preview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协同评论、PRD 链接</w:t>
            </w:r>
          </w:p>
        </w:tc>
      </w:tr>
      <w:tr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Lineage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BDD 行 ↔ IR step ↔ source line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代码变更影响图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Review Queue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歧义步骤、Locator、Checkpoint 审核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策略化自动批准</w:t>
            </w:r>
          </w:p>
        </w:tc>
      </w:tr>
      <w:tr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Dataset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Examples 表格、Secret 引用、数据行过滤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数据工厂与租约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Execution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单 Scenario/Examples 行/Tag 运行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分片与并行</w:t>
            </w:r>
          </w:p>
        </w:tc>
      </w:tr>
      <w:tr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Artifacts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每个 GWT step 关联证据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业务级聚合报告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Fix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结构化 patch diff + Sandbox rerun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自动 PR / owner approval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 w:cs="Arial Unicode MS"/>
        </w:rPr>
        <w:t>5. 自动保鲜与归因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5.1 保鲜分层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163A5F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频率</w:t>
            </w:r>
          </w:p>
        </w:tc>
        <w:tc>
          <w:tcPr>
            <w:tcW w:type="dxa" w:w="2498"/>
            <w:shd w:fill="163A5F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运行内容</w:t>
            </w:r>
          </w:p>
        </w:tc>
        <w:tc>
          <w:tcPr>
            <w:tcW w:type="dxa" w:w="2498"/>
            <w:shd w:fill="163A5F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目的</w:t>
            </w:r>
          </w:p>
        </w:tc>
        <w:tc>
          <w:tcPr>
            <w:tcW w:type="dxa" w:w="2498"/>
            <w:shd w:fill="163A5F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成本控制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每次 PR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P0 smoke + 受影响 Scenario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快速发现代码变更破坏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基于 route/component/API 影响映射</w:t>
            </w:r>
          </w:p>
        </w:tc>
      </w:tr>
      <w:tr>
        <w:tc>
          <w:tcPr>
            <w:tcW w:type="dxa" w:w="2498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每日</w:t>
            </w:r>
          </w:p>
        </w:tc>
        <w:tc>
          <w:tcPr>
            <w:tcW w:type="dxa" w:w="2498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Stable P0/P1 + 多 Locale 抽样</w:t>
            </w:r>
          </w:p>
        </w:tc>
        <w:tc>
          <w:tcPr>
            <w:tcW w:type="dxa" w:w="2498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发现环境/数据/定位漂移</w:t>
            </w:r>
          </w:p>
        </w:tc>
        <w:tc>
          <w:tcPr>
            <w:tcW w:type="dxa" w:w="2498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分层抽样；失败后才扩展诊断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每周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全量 regression + 视觉/可访问性基线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捕获长尾变化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并行、缓存登录态、去重场景</w:t>
            </w:r>
          </w:p>
        </w:tc>
      </w:tr>
      <w:tr>
        <w:tc>
          <w:tcPr>
            <w:tcW w:type="dxa" w:w="2498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发布前</w:t>
            </w:r>
          </w:p>
        </w:tc>
        <w:tc>
          <w:tcPr>
            <w:tcW w:type="dxa" w:w="2498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Release Plan + destructive sandbox cases</w:t>
            </w:r>
          </w:p>
        </w:tc>
        <w:tc>
          <w:tcPr>
            <w:tcW w:type="dxa" w:w="2498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业务验收</w:t>
            </w:r>
          </w:p>
        </w:tc>
        <w:tc>
          <w:tcPr>
            <w:tcW w:type="dxa" w:w="2498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固定数据集和环境快照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线上只读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合成/匿名样本，禁止写操作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契约与页面可用性 baseline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低频、白名单、脱敏、严格预算</w:t>
            </w:r>
          </w:p>
        </w:tc>
      </w:tr>
    </w:tbl>
    <w:p/>
    <w:p>
      <w:pPr>
        <w:pStyle w:val="Heading2"/>
      </w:pPr>
      <w:r>
        <w:rPr>
          <w:rFonts w:ascii="Arial Unicode MS" w:hAnsi="Arial Unicode MS" w:eastAsia="Arial Unicode MS" w:cs="Arial Unicode MS"/>
        </w:rPr>
        <w:t>5.2 线上样本做 baseline 的正确方式</w:t>
      </w:r>
    </w:p>
    <w:p>
      <w:r>
        <w:rPr>
          <w:rFonts w:ascii="Arial Unicode MS" w:hAnsi="Arial Unicode MS" w:eastAsia="Arial Unicode MS" w:cs="Arial Unicode MS"/>
        </w:rPr>
        <w:t>可以使用线上样本，但只适合建立“只读契约 baseline”，不能把线上当前 UI 当成绝对真相，更不能直接驱动支付写操作。优先级如下：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同版本 production 只读健康路径：Route、标题、关键可访问角色、关键 API schema/status。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脱敏录制快照：A11y tree 的稳定子集，不保存个人文本、token、金额明细。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合成生产形态数据：与线上 schema/feature flag 一致，但账号和订单完全测试隔离。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测试环境与 production baseline 做契约差异，而不是像素/DOM 全量相等。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6309360" cy="36804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ttribution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80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 w:cs="Arial Unicode MS"/>
        </w:rPr>
        <w:t>图 4　自动保鲜与失败归因决策流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5.3 归因模型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63A5F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331"/>
            <w:shd w:fill="163A5F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主要证据</w:t>
            </w:r>
          </w:p>
        </w:tc>
        <w:tc>
          <w:tcPr>
            <w:tcW w:type="dxa" w:w="3331"/>
            <w:shd w:fill="163A5F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动作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环境/基础设施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DNS/Proxy、5xx、health check、所有 case 同时失败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冻结 healer，通知平台/环境 owner</w:t>
            </w:r>
          </w:p>
        </w:tc>
      </w:tr>
      <w:tr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测试数据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账号状态、fixture 租约、数据不存在、线上基线通过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刷新/修复数据契约，不能改业务断言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测试资产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主 locator 多匹配/0 匹配，A11y 等价元素存在，业务结果正确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提出 Locator/Wait/Flow patch</w:t>
            </w:r>
          </w:p>
        </w:tc>
      </w:tr>
      <w:tr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产品代码 Bug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相同版本/数据可复现，Then 失败，API/UI 与需求不符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创建 Bug，附 Trace/Video/Network/BDD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需求变更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PRD/feature flag/代码变更解释新行为且已批准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更新 BDD 后重新生成；保留旧版本</w:t>
            </w:r>
          </w:p>
        </w:tc>
      </w:tr>
      <w:tr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第三方/外部依赖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支付网关、认证、风控异常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隔离/Mock 或标记依赖故障，不自愈断言</w:t>
            </w:r>
          </w:p>
        </w:tc>
      </w:tr>
    </w:tbl>
    <w:p/>
    <w:p>
      <w:pPr>
        <w:pStyle w:val="Heading2"/>
      </w:pPr>
      <w:r>
        <w:rPr>
          <w:rFonts w:ascii="Arial Unicode MS" w:hAnsi="Arial Unicode MS" w:eastAsia="Arial Unicode MS" w:cs="Arial Unicode MS"/>
        </w:rPr>
        <w:t>5.4 低成本指标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63A5F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331"/>
            <w:shd w:fill="163A5F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3331"/>
            <w:shd w:fill="163A5F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目标方向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True product bug yield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产品 Bug / 全部失败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上升</w:t>
            </w:r>
          </w:p>
        </w:tc>
      </w:tr>
      <w:tr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False pass rate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错误元素/弱断言导致的通过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接近 0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Test asset drift rate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定位/数据/等待类失败 / 全部失败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下降</w:t>
            </w:r>
          </w:p>
        </w:tc>
      </w:tr>
      <w:tr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Auto-fix acceptance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批准并重跑通过的低风险 patch / 候选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健康上升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Mean time to attribution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失败到确定 owner/category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下降</w:t>
            </w:r>
          </w:p>
        </w:tc>
      </w:tr>
      <w:tr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BDD→Automation lead time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Scenario 批准到可回放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下降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Checkpoint coverage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有业务 Then 的 When 主路径比例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上升，不追求 DOM 全覆盖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 w:cs="Arial Unicode MS"/>
        </w:rPr>
        <w:t>6. 与现平台和 Skill 的结合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6309360" cy="36804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latform_skill_integr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80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 w:cs="Arial Unicode MS"/>
        </w:rPr>
        <w:t>图 5　平台、Skill 与 Playwright 能力层集成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6.1 平台 API 增量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63A5F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Endpoint / Service</w:t>
            </w:r>
          </w:p>
        </w:tc>
        <w:tc>
          <w:tcPr>
            <w:tcW w:type="dxa" w:w="4997"/>
            <w:shd w:fill="163A5F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POST /api/bdd/import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解析 .feature/Markdown/manual rows，生成 Draft</w:t>
            </w:r>
          </w:p>
        </w:tc>
      </w:tr>
      <w:tr>
        <w:tc>
          <w:tcPr>
            <w:tcW w:type="dxa" w:w="4997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POST /api/bdd/:id/compile</w:t>
            </w:r>
          </w:p>
        </w:tc>
        <w:tc>
          <w:tcPr>
            <w:tcW w:type="dxa" w:w="4997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BDD → IR；返回歧义与候选，不直接覆盖 Stable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POST /api/cases/:id/checkpoint-candidates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生成结构化断言候选</w:t>
            </w:r>
          </w:p>
        </w:tc>
      </w:tr>
      <w:tr>
        <w:tc>
          <w:tcPr>
            <w:tcW w:type="dxa" w:w="4997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POST /api/.../apply</w:t>
            </w:r>
          </w:p>
        </w:tc>
        <w:tc>
          <w:tcPr>
            <w:tcW w:type="dxa" w:w="4997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人工批准候选并创建新版本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POST /api/generator/validate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通过 CLI/MCP/Agent 在目标环境验证定位器与断言</w:t>
            </w:r>
          </w:p>
        </w:tc>
      </w:tr>
      <w:tr>
        <w:tc>
          <w:tcPr>
            <w:tcW w:type="dxa" w:w="4997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POST /api/runs/:id/triage</w:t>
            </w:r>
          </w:p>
        </w:tc>
        <w:tc>
          <w:tcPr>
            <w:tcW w:type="dxa" w:w="4997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生成归因 bundle 与候选 owner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POST /api/runs/:id/heal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Sandbox 运行受限 patch</w:t>
            </w:r>
          </w:p>
        </w:tc>
      </w:tr>
      <w:tr>
        <w:tc>
          <w:tcPr>
            <w:tcW w:type="dxa" w:w="4997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GET /api/lineage/:assetId</w:t>
            </w:r>
          </w:p>
        </w:tc>
        <w:tc>
          <w:tcPr>
            <w:tcW w:type="dxa" w:w="4997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BDD→IR→Code→Run→Fix 全链路</w:t>
            </w:r>
          </w:p>
        </w:tc>
      </w:tr>
    </w:tbl>
    <w:p/>
    <w:p>
      <w:pPr>
        <w:pStyle w:val="Heading2"/>
      </w:pPr>
      <w:r>
        <w:rPr>
          <w:rFonts w:ascii="Arial Unicode MS" w:hAnsi="Arial Unicode MS" w:eastAsia="Arial Unicode MS" w:cs="Arial Unicode MS"/>
        </w:rPr>
        <w:t>6.2 Skill 升级方案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63A5F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Skill 命令/流程</w:t>
            </w:r>
          </w:p>
        </w:tc>
        <w:tc>
          <w:tcPr>
            <w:tcW w:type="dxa" w:w="3331"/>
            <w:shd w:fill="163A5F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3331"/>
            <w:shd w:fill="163A5F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输出/安全约束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bootstrap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repo + platform config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检查 Node/Playwright/平台版本，不触碰用户 Chrome profile</w:t>
            </w:r>
          </w:p>
        </w:tc>
      </w:tr>
      <w:tr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import-bdd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feature/manual case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BDD Draft + parse diagnostics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generate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approved BDD + target env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IR、候选定位器/断言、待审列表</w:t>
            </w:r>
          </w:p>
        </w:tc>
      </w:tr>
      <w:tr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validate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draft version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headed/headless sandbox run + evidence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publish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approved draft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新 Case/Suite/Flow 版本；不自动替换 Stable</w:t>
            </w:r>
          </w:p>
        </w:tc>
      </w:tr>
      <w:tr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freshen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scope + budget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漂移扫描、归因、白名单 patch 候选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explain-failure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run id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面向 QA/开发的原因、证据、owner 建议</w:t>
            </w:r>
          </w:p>
        </w:tc>
      </w:tr>
    </w:tbl>
    <w:p/>
    <w:p>
      <w:r>
        <w:rPr>
          <w:rFonts w:ascii="Arial Unicode MS" w:hAnsi="Arial Unicode MS" w:eastAsia="Arial Unicode MS" w:cs="Arial Unicode MS"/>
        </w:rPr>
        <w:t>Skill 不再承担“把代码都写进几个文件”的职责，而是编排平台 API、Playwright adapter 与 repo 内模块。Skill 文档应新增：BDD 工作流、IR Schema、AI 输出约束、Coupay Knowledge Pack 路径、审批策略、失败归因 playbook。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6.3 UI 信息架构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6309360" cy="36804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ui_desig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80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 w:cs="Arial Unicode MS"/>
        </w:rPr>
        <w:t>图 6　BDD、Checkpoint 与失败归因 UI 草图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63A5F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3331"/>
            <w:shd w:fill="163A5F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关键组件</w:t>
            </w:r>
          </w:p>
        </w:tc>
        <w:tc>
          <w:tcPr>
            <w:tcW w:type="dxa" w:w="3331"/>
            <w:shd w:fill="163A5F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用户决策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Case / BDD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Gherkin editor、Examples 表、语法/歧义提示、生成状态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批准哪些语义步骤进入 Automation Draft</w:t>
            </w:r>
          </w:p>
        </w:tc>
      </w:tr>
      <w:tr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Automation Draft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GWT ↔ steps 对照、Locator 证据、Assertion Preview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选择候选、补充参数、标记公共流程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Checkpoint Review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候选断言、理由、置信度、证据、影响范围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批准/修改/拒绝</w:t>
            </w:r>
          </w:p>
        </w:tc>
      </w:tr>
      <w:tr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Run Detail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BDD step timeline、Artifacts、环境/数据/资产/代码归因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确认 owner 与是否允许修复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Fix Review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JSON patch diff、风险等级、Sandbox 结果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Apply 新版本 / 建 Bug / 忽略并说明</w:t>
            </w:r>
          </w:p>
        </w:tc>
      </w:tr>
      <w:tr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Freshness Dashboard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漂移趋势、失败分类、Stable 健康度、成本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确定保鲜范围与优先级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 w:cs="Arial Unicode MS"/>
        </w:rPr>
        <w:t>7. 代码拆分方案（本阶段不做大重构）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6309360" cy="36804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odule_decomposi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80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 w:cs="Arial Unicode MS"/>
        </w:rPr>
        <w:t>图 7　建议模块与依赖方向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7.1 拆分目标</w:t>
      </w:r>
    </w:p>
    <w:p>
      <w:r>
        <w:rPr>
          <w:rFonts w:ascii="Arial Unicode MS" w:hAnsi="Arial Unicode MS" w:eastAsia="Arial Unicode MS" w:cs="Arial Unicode MS"/>
        </w:rPr>
        <w:t>当前 server.js 同时承担路由、版本、解析、代码生成、浏览器执行、录制会话、AI 诊断与持久化；public/app.js 同时承担所有页面、状态、API 与组件。建议用 Strangler Pattern：先创建清晰模块并把新 BDD 功能放入新结构，再按路由逐步迁移旧逻辑；不要一次性重写。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7.2 建议目录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63A5F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目录</w:t>
            </w:r>
          </w:p>
        </w:tc>
        <w:tc>
          <w:tcPr>
            <w:tcW w:type="dxa" w:w="3331"/>
            <w:shd w:fill="163A5F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331"/>
            <w:shd w:fill="163A5F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禁止依赖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apps/web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页面组合、路由、状态；薄 UI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不得直接拼 Playwright 代码</w:t>
            </w:r>
          </w:p>
        </w:tc>
      </w:tr>
      <w:tr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apps/api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HTTP schema、认证、错误映射、use-case 调用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不得包含浏览器执行细节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packages/domain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BDD/IR/Provenance/Version/Risk 纯模型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不得依赖 Express/Playwright/AI SDK</w:t>
            </w:r>
          </w:p>
        </w:tc>
      </w:tr>
      <w:tr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packages/generator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Gherkin parse、Registry、AI resolver、checkpoint、emitter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不得直接写数据库或 UI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packages/runtime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严格 locator、expect、session、artifact、classifier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不得依赖 Express 页面</w:t>
            </w:r>
          </w:p>
        </w:tc>
      </w:tr>
      <w:tr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packages/adapters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Playwright CLI/MCP/Agents、存储、本地 AI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通过接口注入，不反向依赖 apps</w:t>
            </w:r>
          </w:p>
        </w:tc>
      </w:tr>
    </w:tbl>
    <w:p/>
    <w:p>
      <w:pPr>
        <w:pStyle w:val="Heading2"/>
      </w:pPr>
      <w:r>
        <w:rPr>
          <w:rFonts w:ascii="Arial Unicode MS" w:hAnsi="Arial Unicode MS" w:eastAsia="Arial Unicode MS" w:cs="Arial Unicode MS"/>
        </w:rPr>
        <w:t>7.3 从当前文件迁移的落点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63A5F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现代码区域</w:t>
            </w:r>
          </w:p>
        </w:tc>
        <w:tc>
          <w:tcPr>
            <w:tcW w:type="dxa" w:w="3331"/>
            <w:shd w:fill="163A5F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目标模块</w:t>
            </w:r>
          </w:p>
        </w:tc>
        <w:tc>
          <w:tcPr>
            <w:tcW w:type="dxa" w:w="3331"/>
            <w:shd w:fill="163A5F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先迁移原因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lib/codegen-parser.js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packages/generator/codegen-import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已有边界，容易独立测试</w:t>
            </w:r>
          </w:p>
        </w:tc>
      </w:tr>
      <w:tr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singleLocator/resolveLocator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packages/runtime/locator-resolver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P0 安全契约，需高覆盖率单测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executeReadiness/executeStep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packages/runtime/step-executor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expect 与 action 统一入口</w:t>
            </w:r>
          </w:p>
        </w:tc>
      </w:tr>
      <w:tr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generateSource/jsStep/pyStep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packages/generator/playwright-emitter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代码生成不应在 server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recording sessions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packages/runtime/recording-service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状态机与进程生命周期独立</w:t>
            </w:r>
          </w:p>
        </w:tc>
      </w:tr>
      <w:tr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version helpers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packages/domain/versioning + application service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所有资产共享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AI diagnosis/checkpoint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packages/generator/ai + runtime/triage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统一 JSON Schema 与 guardrails</w:t>
            </w:r>
          </w:p>
        </w:tc>
      </w:tr>
      <w:tr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public stepHtml/collectSteps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apps/web/components/step-editor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避免字符串模板继续膨胀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runResultHtml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apps/web/pages/run-detail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归因、证据、fix review 独立迭代</w:t>
            </w:r>
          </w:p>
        </w:tc>
      </w:tr>
    </w:tbl>
    <w:p/>
    <w:p>
      <w:pPr>
        <w:pStyle w:val="Heading2"/>
      </w:pPr>
      <w:r>
        <w:rPr>
          <w:rFonts w:ascii="Arial Unicode MS" w:hAnsi="Arial Unicode MS" w:eastAsia="Arial Unicode MS" w:cs="Arial Unicode MS"/>
        </w:rPr>
        <w:t>7.4 渐进迁移顺序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先建立 package 边界、类型与契约测试；旧 server 通过 wrapper 调新模块。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迁出 Locator Resolver 与 Step Executor，建立 fixture 页面单测/E2E。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迁出 Generator/Parser/Emitter，做 golden files 与 round-trip 测试。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新 BDD API 和 UI 只写新目录，不再增加 server.js/app.js 体积。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迁出 Versioning/Store，最后拆 Express routes 与前端页面。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每一步保持旧 API 兼容并可回滚；达到覆盖率阈值后删除旧实现。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8. 数据模型与契约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63A5F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实体</w:t>
            </w:r>
          </w:p>
        </w:tc>
        <w:tc>
          <w:tcPr>
            <w:tcW w:type="dxa" w:w="4997"/>
            <w:shd w:fill="163A5F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关键字段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BddDocument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id, feature, rules, scenarios, source, language, revision</w:t>
            </w:r>
          </w:p>
        </w:tc>
      </w:tr>
      <w:tr>
        <w:tc>
          <w:tcPr>
            <w:tcW w:type="dxa" w:w="4997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BddStep</w:t>
            </w:r>
          </w:p>
        </w:tc>
        <w:tc>
          <w:tcPr>
            <w:tcW w:type="dxa" w:w="4997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keyword, text, semanticId, args, sourceLocation, status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AutomationDraft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bddRevision, irVersion, targetEnv, generatorVersion, reviewStatus</w:t>
            </w:r>
          </w:p>
        </w:tc>
      </w:tr>
      <w:tr>
        <w:tc>
          <w:tcPr>
            <w:tcW w:type="dxa" w:w="4997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TestIRStep</w:t>
            </w:r>
          </w:p>
        </w:tc>
        <w:tc>
          <w:tcPr>
            <w:tcW w:type="dxa" w:w="4997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phase, operation, locatorContract, expected, dataBindings, risk, origin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LocatorCandidate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strategy, value, name, uniqueness, source, confidence, snapshotId</w:t>
            </w:r>
          </w:p>
        </w:tc>
      </w:tr>
      <w:tr>
        <w:tc>
          <w:tcPr>
            <w:tcW w:type="dxa" w:w="4997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CheckpointCandidate</w:t>
            </w:r>
          </w:p>
        </w:tc>
        <w:tc>
          <w:tcPr>
            <w:tcW w:type="dxa" w:w="4997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assertion, expected, evidence, confidence, reviewStatus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RunEvidence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assetVersion, envFingerprint, stepLineage, trace/video/network/snapshot</w:t>
            </w:r>
          </w:p>
        </w:tc>
      </w:tr>
      <w:tr>
        <w:tc>
          <w:tcPr>
            <w:tcW w:type="dxa" w:w="4997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TriageDecision</w:t>
            </w:r>
          </w:p>
        </w:tc>
        <w:tc>
          <w:tcPr>
            <w:tcW w:type="dxa" w:w="4997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category, confidence, evidenceRefs, owner, allowedPatches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KnowledgeEntry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domainTerm/step/locator/data/route, version, owner, lastVerifiedAt</w:t>
            </w:r>
          </w:p>
        </w:tc>
      </w:tr>
    </w:tbl>
    <w:p/>
    <w:p>
      <w:pPr>
        <w:pStyle w:val="Heading2"/>
      </w:pPr>
      <w:r>
        <w:rPr>
          <w:rFonts w:ascii="Arial Unicode MS" w:hAnsi="Arial Unicode MS" w:eastAsia="Arial Unicode MS" w:cs="Arial Unicode MS"/>
        </w:rPr>
        <w:t>8.1 Provenance 最小字段</w:t>
      </w:r>
    </w:p>
    <w:p>
      <w:r>
        <w:rPr>
          <w:rFonts w:ascii="Arial Unicode MS" w:hAnsi="Arial Unicode MS" w:eastAsia="Arial Unicode MS" w:cs="Arial Unicode MS"/>
        </w:rPr>
        <w:t>每一步至少保存 type、source、generator/parser 版本、sourceLocation、createdAt；AI 生成项增加 model/provider、confidence、evidenceRefs、reviewStatus、approvedBy/At。执行记录必须保存实际 locator candidate、Case/Flow 版本、BDD revision 与环境 fingerprint。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9. 测试策略与验收标准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63A5F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层</w:t>
            </w:r>
          </w:p>
        </w:tc>
        <w:tc>
          <w:tcPr>
            <w:tcW w:type="dxa" w:w="3331"/>
            <w:shd w:fill="163A5F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测试</w:t>
            </w:r>
          </w:p>
        </w:tc>
        <w:tc>
          <w:tcPr>
            <w:tcW w:type="dxa" w:w="3331"/>
            <w:shd w:fill="163A5F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关键验收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Parser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AST 多行、frame、filter/nth、非法语法、marker round-trip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支持的 codegen 不丢序；来源行列正确</w:t>
            </w:r>
          </w:p>
        </w:tc>
      </w:tr>
      <w:tr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Locator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0/1/N、primary/fallback、显式 nth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N&gt;1 必失败；无 first 假通过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Expect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延迟可见/文本/值/URL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Web-first retry 后通过；超时诊断可读</w:t>
            </w:r>
          </w:p>
        </w:tc>
      </w:tr>
      <w:tr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BDD compiler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Feature/Background/Outline/Tags/DataTable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IR 稳定且 lineage 完整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AI guardrail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非法 matcher、任意代码、高风险动作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Schema/allowlist 拒绝</w:t>
            </w:r>
          </w:p>
        </w:tc>
      </w:tr>
      <w:tr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Generator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IR→JS golden + compile + sandbox run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生成代码可运行且结果与 IR 一致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Attribution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环境/数据/资产/代码 fixture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分类有证据且不错误自愈</w:t>
            </w:r>
          </w:p>
        </w:tc>
      </w:tr>
      <w:tr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UI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候选生成、拒绝、批准、版本创建</w:t>
            </w:r>
          </w:p>
        </w:tc>
        <w:tc>
          <w:tcPr>
            <w:tcW w:type="dxa" w:w="3331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未批准不影响执行；批准可回滚</w:t>
            </w:r>
          </w:p>
        </w:tc>
      </w:tr>
    </w:tbl>
    <w:p/>
    <w:p>
      <w:pPr>
        <w:pStyle w:val="Heading2"/>
      </w:pPr>
      <w:r>
        <w:rPr>
          <w:rFonts w:ascii="Arial Unicode MS" w:hAnsi="Arial Unicode MS" w:eastAsia="Arial Unicode MS" w:cs="Arial Unicode MS"/>
        </w:rPr>
        <w:t>9.1 Task 1 Done Definition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Acorn 成为 codegen 语句边界解析器；多行链式调用测试通过。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结构化断言使用 Playwright expect；延迟状态由 web-first assertion 等待。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fallback 不再合并后 first；多匹配明确失败并可诊断。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录制 UI 指引用户录 visibility/text/value 断言。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步骤与运行记录展示 recorded/manual/ai-suggested 来源。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智能 checkpoint 只生成候选；批准后创建新版本并重新生成代码。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10. 风险、决策与待办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63A5F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4997"/>
            <w:shd w:fill="163A5F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缓解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BDD 写成 UI 脚本，失去业务价值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Step Registry 以领域语言命名；When 隐藏具体 selector</w:t>
            </w:r>
          </w:p>
        </w:tc>
      </w:tr>
      <w:tr>
        <w:tc>
          <w:tcPr>
            <w:tcW w:type="dxa" w:w="4997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AI 选择看似相同但业务错误的元素</w:t>
            </w:r>
          </w:p>
        </w:tc>
        <w:tc>
          <w:tcPr>
            <w:tcW w:type="dxa" w:w="4997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唯一性 + A11y/页面上下文 + Then 联合验证 + 人审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知识库迅速过期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lastVerifiedAt、运行时验证、按旅程增量建设，不做全 DOM 爬取</w:t>
            </w:r>
          </w:p>
        </w:tc>
      </w:tr>
      <w:tr>
        <w:tc>
          <w:tcPr>
            <w:tcW w:type="dxa" w:w="4997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线上 baseline 泄露/污染数据</w:t>
            </w:r>
          </w:p>
        </w:tc>
        <w:tc>
          <w:tcPr>
            <w:tcW w:type="dxa" w:w="4997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只读、脱敏、合成账号、环境白名单、审计和预算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Healer 掩盖产品 Bug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归因先于修复；禁止弱化断言与高风险动作自愈</w:t>
            </w:r>
          </w:p>
        </w:tc>
      </w:tr>
      <w:tr>
        <w:tc>
          <w:tcPr>
            <w:tcW w:type="dxa" w:w="4997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平台继续变成单体</w:t>
            </w:r>
          </w:p>
        </w:tc>
        <w:tc>
          <w:tcPr>
            <w:tcW w:type="dxa" w:w="4997"/>
            <w:vAlign w:val="center"/>
            <w:shd w:fill="F6F8FB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新能力只落新包；按迁移清单设 CI 依赖边界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Agent/Playwright API 快速变化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color w:val="223247"/>
                <w:sz w:val="17"/>
              </w:rPr>
              <w:t>adapter 封装；固定版本；升级时重生成 agent definitions 并跑契约测试</w:t>
            </w:r>
          </w:p>
        </w:tc>
      </w:tr>
    </w:tbl>
    <w:p/>
    <w:p>
      <w:pPr>
        <w:pStyle w:val="Heading2"/>
      </w:pPr>
      <w:r>
        <w:rPr>
          <w:rFonts w:ascii="Arial Unicode MS" w:hAnsi="Arial Unicode MS" w:eastAsia="Arial Unicode MS" w:cs="Arial Unicode MS"/>
        </w:rPr>
        <w:t>需要团队确认的 6 个产品决策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Feature 与现有 Test Suite 是否一一对应；Test Plan 是否固定表示 Release/Regression Campaign。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BDD 的权威源是在平台、Git .feature 文件，还是双向同步但单一写入 owner。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哪些 Coupay 动作标记 destructive，以及批准人/环境白名单。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MVP 首批 10–20 个领域 Step 与 3–5 条关键支付旅程。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线上 baseline 的允许范围、脱敏规则与执行账号。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AI 部署方式：本地模型/企业网关；模型输入中允许的页面和测试数据字段。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附录 A：参考实现示例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A.1 BDD 示例</w:t>
      </w:r>
    </w:p>
    <w:p>
      <w:pPr>
        <w:pStyle w:val="IntenseQuote"/>
      </w:pPr>
      <w:r>
        <w:rPr>
          <w:rFonts w:ascii="Arial Unicode MS" w:hAnsi="Arial Unicode MS" w:eastAsia="Arial Unicode MS" w:cs="Arial Unicode MS"/>
        </w:rPr>
        <w:t>@P0 @regression @destructive</w:t>
        <w:br/>
        <w:t>Feature: Coupay Money 支付</w:t>
        <w:br/>
        <w:t xml:space="preserve">  Background:</w:t>
        <w:br/>
        <w:t xml:space="preserve">    Given 买家已登录并进入收银台</w:t>
        <w:br/>
        <w:br/>
        <w:t xml:space="preserve">  Scenario Outline: 余额充足时支付成功</w:t>
        <w:br/>
        <w:t xml:space="preserve">    Given 买家 Coupay Money 余额为 &lt;balance&gt; 韩元</w:t>
        <w:br/>
        <w:t xml:space="preserve">    When 买家使用 Coupay Money 支付 &lt;amount&gt; 韩元</w:t>
        <w:br/>
        <w:t xml:space="preserve">    Then 订单状态应显示“支付成功”</w:t>
        <w:br/>
        <w:t xml:space="preserve">    And 余额应减少 &lt;amount&gt; 韩元</w:t>
        <w:br/>
        <w:br/>
        <w:t xml:space="preserve">    Examples:</w:t>
        <w:br/>
        <w:t xml:space="preserve">      | balance | amount |</w:t>
        <w:br/>
        <w:t xml:space="preserve">      | 20000   | 10000  |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A.2 IR 示例（概念）</w:t>
      </w:r>
    </w:p>
    <w:p>
      <w:pPr>
        <w:pStyle w:val="IntenseQuote"/>
      </w:pPr>
      <w:r>
        <w:rPr>
          <w:rFonts w:ascii="Arial Unicode MS" w:hAnsi="Arial Unicode MS" w:eastAsia="Arial Unicode MS" w:cs="Arial Unicode MS"/>
        </w:rPr>
        <w:t>{</w:t>
        <w:br/>
        <w:t xml:space="preserve">  "semanticId": "payment.coupayMoney.submit",</w:t>
        <w:br/>
        <w:t xml:space="preserve">  "phase": "when",</w:t>
        <w:br/>
        <w:t xml:space="preserve">  "operation": "clickAndWaitForResponse",</w:t>
        <w:br/>
        <w:t xml:space="preserve">  "locatorContract": {"strategy":"role","value":"button","name":"支付"},</w:t>
        <w:br/>
        <w:t xml:space="preserve">  "dataBindings": {"amount":"dataset.amount"},</w:t>
        <w:br/>
        <w:t xml:space="preserve">  "risk": "destructive",</w:t>
        <w:br/>
        <w:t xml:space="preserve">  "origin": {"type":"bdd-generated","sourceLine":6}</w:t>
        <w:br/>
        <w:t>}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A.3 Checkpoint 候选示例</w:t>
      </w:r>
    </w:p>
    <w:p>
      <w:pPr>
        <w:pStyle w:val="IntenseQuote"/>
      </w:pPr>
      <w:r>
        <w:rPr>
          <w:rFonts w:ascii="Arial Unicode MS" w:hAnsi="Arial Unicode MS" w:eastAsia="Arial Unicode MS" w:cs="Arial Unicode MS"/>
        </w:rPr>
        <w:t>{</w:t>
        <w:br/>
        <w:t xml:space="preserve">  "assertion": "toHaveText",</w:t>
        <w:br/>
        <w:t xml:space="preserve">  "locator": {"strategy":"role","value":"status"},</w:t>
        <w:br/>
        <w:t xml:space="preserve">  "expected": "支付成功",</w:t>
        <w:br/>
        <w:t xml:space="preserve">  "confidence": 0.93,</w:t>
        <w:br/>
        <w:t xml:space="preserve">  "evidenceRefs": ["a11y:snapshot-42", "bdd:line-7"],</w:t>
        <w:br/>
        <w:t xml:space="preserve">  "reviewStatus": "pending"</w:t>
        <w:br/>
        <w:t>}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附录 B：官方资料与能力依据</w:t>
      </w:r>
    </w:p>
    <w:p>
      <w:pPr>
        <w:pStyle w:val="ListBullet"/>
      </w:pPr>
      <w:hyperlink r:id="rId18">
        <w:r>
          <w:rPr>
            <w:rFonts w:ascii="Arial Unicode MS" w:hAnsi="Arial Unicode MS" w:eastAsia="Arial Unicode MS" w:cs="Arial Unicode MS"/>
            <w:color w:val="2F6FED"/>
            <w:u w:val="single"/>
          </w:rPr>
          <w:t>Playwright Test Agents — Planner / Generator / Healer</w:t>
        </w:r>
      </w:hyperlink>
    </w:p>
    <w:p>
      <w:pPr>
        <w:pStyle w:val="ListBullet"/>
      </w:pPr>
      <w:hyperlink r:id="rId19">
        <w:r>
          <w:rPr>
            <w:rFonts w:ascii="Arial Unicode MS" w:hAnsi="Arial Unicode MS" w:eastAsia="Arial Unicode MS" w:cs="Arial Unicode MS"/>
            <w:color w:val="2F6FED"/>
            <w:u w:val="single"/>
          </w:rPr>
          <w:t>Playwright MCP Introduction — accessibility snapshot based automation</w:t>
        </w:r>
      </w:hyperlink>
    </w:p>
    <w:p>
      <w:pPr>
        <w:pStyle w:val="ListBullet"/>
      </w:pPr>
      <w:hyperlink r:id="rId20">
        <w:r>
          <w:rPr>
            <w:rFonts w:ascii="Arial Unicode MS" w:hAnsi="Arial Unicode MS" w:eastAsia="Arial Unicode MS" w:cs="Arial Unicode MS"/>
            <w:color w:val="2F6FED"/>
            <w:u w:val="single"/>
          </w:rPr>
          <w:t>Playwright MCP Testing &amp; Assertions — locator generation and verify tools</w:t>
        </w:r>
      </w:hyperlink>
    </w:p>
    <w:p>
      <w:pPr>
        <w:pStyle w:val="ListBullet"/>
      </w:pPr>
      <w:hyperlink r:id="rId21">
        <w:r>
          <w:rPr>
            <w:rFonts w:ascii="Arial Unicode MS" w:hAnsi="Arial Unicode MS" w:eastAsia="Arial Unicode MS" w:cs="Arial Unicode MS"/>
            <w:color w:val="2F6FED"/>
            <w:u w:val="single"/>
          </w:rPr>
          <w:t>Playwright Test Generator / Inspector — actions and visibility/text/value assertions</w:t>
        </w:r>
      </w:hyperlink>
    </w:p>
    <w:p>
      <w:pPr>
        <w:pStyle w:val="ListBullet"/>
      </w:pPr>
      <w:hyperlink r:id="rId22">
        <w:r>
          <w:rPr>
            <w:rFonts w:ascii="Arial Unicode MS" w:hAnsi="Arial Unicode MS" w:eastAsia="Arial Unicode MS" w:cs="Arial Unicode MS"/>
            <w:color w:val="2F6FED"/>
            <w:u w:val="single"/>
          </w:rPr>
          <w:t>Playwright Web-first Assertions</w:t>
        </w:r>
      </w:hyperlink>
    </w:p>
    <w:p>
      <w:pPr>
        <w:pStyle w:val="ListBullet"/>
      </w:pPr>
      <w:hyperlink r:id="rId23">
        <w:r>
          <w:rPr>
            <w:rFonts w:ascii="Arial Unicode MS" w:hAnsi="Arial Unicode MS" w:eastAsia="Arial Unicode MS" w:cs="Arial Unicode MS"/>
            <w:color w:val="2F6FED"/>
            <w:u w:val="single"/>
          </w:rPr>
          <w:t>Playwright Best Practices</w:t>
        </w:r>
      </w:hyperlink>
    </w:p>
    <w:p>
      <w:pPr>
        <w:pStyle w:val="ListBullet"/>
      </w:pPr>
      <w:hyperlink r:id="rId24">
        <w:r>
          <w:rPr>
            <w:rFonts w:ascii="Arial Unicode MS" w:hAnsi="Arial Unicode MS" w:eastAsia="Arial Unicode MS" w:cs="Arial Unicode MS"/>
            <w:color w:val="2F6FED"/>
            <w:u w:val="single"/>
          </w:rPr>
          <w:t>Playwright Release Notes — agents/CLI interoperability and codegen evolution</w:t>
        </w:r>
      </w:hyperlink>
    </w:p>
    <w:p>
      <w:pPr>
        <w:pStyle w:val="ListBullet"/>
      </w:pPr>
      <w:hyperlink r:id="rId25">
        <w:r>
          <w:rPr>
            <w:rFonts w:ascii="Arial Unicode MS" w:hAnsi="Arial Unicode MS" w:eastAsia="Arial Unicode MS" w:cs="Arial Unicode MS"/>
            <w:color w:val="2F6FED"/>
            <w:u w:val="single"/>
          </w:rPr>
          <w:t>Cucumber Gherkin Reference — Feature/Rule/Scenario/Given/When/Then</w:t>
        </w:r>
      </w:hyperlink>
    </w:p>
    <w:p>
      <w:r>
        <w:rPr>
          <w:rFonts w:ascii="Arial Unicode MS" w:hAnsi="Arial Unicode MS" w:eastAsia="Arial Unicode MS" w:cs="Arial Unicode MS"/>
        </w:rPr>
        <w:t>资料核对日期：2026-08-17。Playwright Agent/CLI/MCP 能力演进较快，建议每次升级 Playwright 时重新生成 agent definitions，并运行平台 adapter 契约测试。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 w:cs="Arial Unicode MS"/>
      </w:rPr>
      <w:t xml:space="preserve">Internal Technical Design  |  </w:t>
    </w:r>
    <w:r>
      <w:rPr>
        <w:rFonts w:ascii="Arial Unicode MS" w:hAnsi="Arial Unicode MS" w:eastAsia="Arial Unicode MS" w:cs="Arial Unicode MS"/>
      </w:rP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 w:cs="Arial Unicode MS"/>
        <w:color w:val="667085"/>
        <w:sz w:val="16"/>
      </w:rPr>
      <w:t>COUPAY  ·  BDD + AI WEB AUTOMATION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 w:eastAsia="Arial Unicode MS"/>
      <w:b/>
      <w:bCs/>
      <w:color w:val="163A5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Arial Unicode MS"/>
      <w:b/>
      <w:bCs/>
      <w:color w:val="2F6FE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Arial Unicode MS"/>
      <w:b/>
      <w:bCs/>
      <w:color w:val="7655B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Arial Unicode MS"/>
      <w:b/>
      <w:color w:val="163A5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eastAsia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eastAsia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eastAsia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Arial Unicode M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eastAsia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hyperlink" Target="https://playwright.dev/docs/test-agents" TargetMode="External"/><Relationship Id="rId19" Type="http://schemas.openxmlformats.org/officeDocument/2006/relationships/hyperlink" Target="https://playwright.dev/mcp/introduction" TargetMode="External"/><Relationship Id="rId20" Type="http://schemas.openxmlformats.org/officeDocument/2006/relationships/hyperlink" Target="https://playwright.dev/mcp/tools/assertions" TargetMode="External"/><Relationship Id="rId21" Type="http://schemas.openxmlformats.org/officeDocument/2006/relationships/hyperlink" Target="https://playwright.dev/docs/codegen" TargetMode="External"/><Relationship Id="rId22" Type="http://schemas.openxmlformats.org/officeDocument/2006/relationships/hyperlink" Target="https://playwright.dev/docs/api/class-playwrightassertions" TargetMode="External"/><Relationship Id="rId23" Type="http://schemas.openxmlformats.org/officeDocument/2006/relationships/hyperlink" Target="https://playwright.dev/docs/best-practices" TargetMode="External"/><Relationship Id="rId24" Type="http://schemas.openxmlformats.org/officeDocument/2006/relationships/hyperlink" Target="https://playwright.dev/docs/release-notes" TargetMode="External"/><Relationship Id="rId25" Type="http://schemas.openxmlformats.org/officeDocument/2006/relationships/hyperlink" Target="https://cucumber.io/docs/gherkin/referenc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Coupay BDD + AI Web 自动化测试平台技术方案</dc:title>
  <dc:subject>Playwright recorder stabilization, BDD generation, maintenance and attribution</dc:subject>
  <dc:creator>Codex</dc:creator>
  <cp:keywords>Coupay, BDD, Playwright, AI, testing, automation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