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DF8ED">
      <w:pPr>
        <w:pStyle w:val="2"/>
        <w:pageBreakBefore w:val="0"/>
        <w:kinsoku/>
        <w:overflowPunct/>
        <w:topLinePunct w:val="0"/>
        <w:autoSpaceDE/>
        <w:autoSpaceDN/>
        <w:bidi w:val="0"/>
        <w:spacing w:line="360" w:lineRule="auto"/>
        <w:textAlignment w:val="auto"/>
        <w:rPr>
          <w:rFonts w:hint="eastAsia" w:ascii="宋体" w:hAnsi="宋体" w:cs="宋体"/>
          <w:sz w:val="24"/>
          <w:szCs w:val="24"/>
          <w:lang w:val="en-US" w:eastAsia="zh-CN"/>
        </w:rPr>
      </w:pPr>
      <w:r>
        <w:rPr>
          <w:rFonts w:hint="eastAsia" w:ascii="宋体" w:hAnsi="宋体" w:cs="宋体"/>
          <w:sz w:val="24"/>
          <w:szCs w:val="24"/>
          <w:lang w:val="en-US" w:eastAsia="zh-CN"/>
        </w:rPr>
        <w:t>主题党日活动方案</w:t>
      </w:r>
    </w:p>
    <w:p w14:paraId="1A1B8B0F">
      <w:pPr>
        <w:spacing w:line="240" w:lineRule="auto"/>
        <w:ind w:left="0" w:right="0"/>
        <w:jc w:val="center"/>
        <w:rPr>
          <w:rFonts w:hint="eastAsia" w:ascii="黑体" w:hAnsi="黑体" w:eastAsia="黑体" w:cs="方正粗黑宋简体"/>
          <w:color w:val="000000"/>
          <w:kern w:val="0"/>
          <w:sz w:val="32"/>
          <w:szCs w:val="32"/>
        </w:rPr>
      </w:pPr>
      <w:r>
        <w:rPr>
          <w:rFonts w:hint="eastAsia" w:ascii="黑体" w:hAnsi="黑体" w:eastAsia="黑体" w:cs="方正粗黑宋简体"/>
          <w:color w:val="000000"/>
          <w:kern w:val="0"/>
          <w:sz w:val="32"/>
          <w:szCs w:val="32"/>
        </w:rPr>
        <w:t>“学习习近平法治思想 强化法治意识与纪律作风建”主题党日活动方案</w:t>
      </w:r>
    </w:p>
    <w:p w14:paraId="54829312">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一、活动背景</w:t>
      </w:r>
    </w:p>
    <w:p w14:paraId="6544CD9F">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为深入学习贯彻习近平新时代中国特色社会主义思想，全面落实党中央关于全面依法治国的重要部署，进一步提升党员干部法治意识与纪律观念，赛迪信息智能制造管控党支部拟开展2月主题党日活动。本次活动以习近平法治思想为核心学习内容，组织党员系统学习《习近平法治文选》第一卷、《习近平法治思想学习纲要（2025年版）》以及习近平总书记关于家庭家教家风建设的重要论述，同时结合保密教育、纪律教育和党的二十届四中全会精神学习，推动理论学习与企业治理实践相结合。</w:t>
      </w:r>
    </w:p>
    <w:p w14:paraId="2DB1DDC1">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通过开展集中学习、专题教育与研讨交流，引导党员干部进一步深化对法治思维、纪律意识和家风建设重要意义的理解，强化依法履职、廉洁从业和责任担当意识。同时，通过学习国家战略和产业发展方向，进一步统一思想、凝聚共识，推动党建工作与企业数字化转型、智能制造发展等重点工作深度融合，为企业高质量发展提供坚强政治保障。</w:t>
      </w:r>
    </w:p>
    <w:p w14:paraId="5824BEDF">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二、活动时间与地点</w:t>
      </w:r>
    </w:p>
    <w:p w14:paraId="594387DF">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时间：2026年</w:t>
      </w:r>
      <w:r>
        <w:rPr>
          <w:rFonts w:hint="eastAsia" w:ascii="方正仿宋_GB2312" w:hAnsi="方正仿宋_GB2312" w:eastAsia="方正仿宋_GB2312" w:cs="方正仿宋_GB2312"/>
          <w:color w:val="000000"/>
          <w:kern w:val="0"/>
          <w:sz w:val="28"/>
          <w:szCs w:val="28"/>
          <w:lang w:val="en-US" w:eastAsia="zh-CN"/>
        </w:rPr>
        <w:t>2</w:t>
      </w:r>
      <w:r>
        <w:rPr>
          <w:rFonts w:ascii="方正仿宋_GB2312" w:hAnsi="方正仿宋_GB2312" w:eastAsia="方正仿宋_GB2312" w:cs="方正仿宋_GB2312"/>
          <w:color w:val="000000"/>
          <w:kern w:val="0"/>
          <w:sz w:val="28"/>
          <w:szCs w:val="28"/>
        </w:rPr>
        <w:t>月2</w:t>
      </w:r>
      <w:r>
        <w:rPr>
          <w:rFonts w:hint="eastAsia" w:ascii="方正仿宋_GB2312" w:hAnsi="方正仿宋_GB2312" w:eastAsia="方正仿宋_GB2312" w:cs="方正仿宋_GB2312"/>
          <w:color w:val="000000"/>
          <w:kern w:val="0"/>
          <w:sz w:val="28"/>
          <w:szCs w:val="28"/>
          <w:lang w:val="en-US" w:eastAsia="zh-CN"/>
        </w:rPr>
        <w:t>6</w:t>
      </w:r>
      <w:r>
        <w:rPr>
          <w:rFonts w:ascii="方正仿宋_GB2312" w:hAnsi="方正仿宋_GB2312" w:eastAsia="方正仿宋_GB2312" w:cs="方正仿宋_GB2312"/>
          <w:color w:val="000000"/>
          <w:kern w:val="0"/>
          <w:sz w:val="28"/>
          <w:szCs w:val="28"/>
        </w:rPr>
        <w:t>日（周</w:t>
      </w:r>
      <w:r>
        <w:rPr>
          <w:rFonts w:hint="eastAsia" w:ascii="方正仿宋_GB2312" w:hAnsi="方正仿宋_GB2312" w:eastAsia="方正仿宋_GB2312" w:cs="方正仿宋_GB2312"/>
          <w:color w:val="000000"/>
          <w:kern w:val="0"/>
          <w:sz w:val="28"/>
          <w:szCs w:val="28"/>
          <w:lang w:val="en-US" w:eastAsia="zh-CN"/>
        </w:rPr>
        <w:t>四</w:t>
      </w:r>
      <w:r>
        <w:rPr>
          <w:rFonts w:ascii="方正仿宋_GB2312" w:hAnsi="方正仿宋_GB2312" w:eastAsia="方正仿宋_GB2312" w:cs="方正仿宋_GB2312"/>
          <w:color w:val="000000"/>
          <w:kern w:val="0"/>
          <w:sz w:val="28"/>
          <w:szCs w:val="28"/>
        </w:rPr>
        <w:t>）1</w:t>
      </w:r>
      <w:r>
        <w:rPr>
          <w:rFonts w:hint="eastAsia" w:ascii="方正仿宋_GB2312" w:hAnsi="方正仿宋_GB2312" w:eastAsia="方正仿宋_GB2312" w:cs="方正仿宋_GB2312"/>
          <w:color w:val="000000"/>
          <w:kern w:val="0"/>
          <w:sz w:val="28"/>
          <w:szCs w:val="28"/>
          <w:lang w:val="en-US" w:eastAsia="zh-CN"/>
        </w:rPr>
        <w:t>3</w:t>
      </w:r>
      <w:r>
        <w:rPr>
          <w:rFonts w:ascii="方正仿宋_GB2312" w:hAnsi="方正仿宋_GB2312" w:eastAsia="方正仿宋_GB2312" w:cs="方正仿宋_GB2312"/>
          <w:color w:val="000000"/>
          <w:kern w:val="0"/>
          <w:sz w:val="28"/>
          <w:szCs w:val="28"/>
        </w:rPr>
        <w:t>:</w:t>
      </w:r>
      <w:r>
        <w:rPr>
          <w:rFonts w:hint="eastAsia" w:ascii="方正仿宋_GB2312" w:hAnsi="方正仿宋_GB2312" w:eastAsia="方正仿宋_GB2312" w:cs="方正仿宋_GB2312"/>
          <w:color w:val="000000"/>
          <w:kern w:val="0"/>
          <w:sz w:val="28"/>
          <w:szCs w:val="28"/>
          <w:lang w:val="en-US" w:eastAsia="zh-CN"/>
        </w:rPr>
        <w:t>4</w:t>
      </w:r>
      <w:r>
        <w:rPr>
          <w:rFonts w:ascii="方正仿宋_GB2312" w:hAnsi="方正仿宋_GB2312" w:eastAsia="方正仿宋_GB2312" w:cs="方正仿宋_GB2312"/>
          <w:color w:val="000000"/>
          <w:kern w:val="0"/>
          <w:sz w:val="28"/>
          <w:szCs w:val="28"/>
        </w:rPr>
        <w:t>0-1</w:t>
      </w:r>
      <w:r>
        <w:rPr>
          <w:rFonts w:hint="eastAsia" w:ascii="方正仿宋_GB2312" w:hAnsi="方正仿宋_GB2312" w:eastAsia="方正仿宋_GB2312" w:cs="方正仿宋_GB2312"/>
          <w:color w:val="000000"/>
          <w:kern w:val="0"/>
          <w:sz w:val="28"/>
          <w:szCs w:val="28"/>
          <w:lang w:val="en-US" w:eastAsia="zh-CN"/>
        </w:rPr>
        <w:t>6</w:t>
      </w:r>
      <w:r>
        <w:rPr>
          <w:rFonts w:ascii="方正仿宋_GB2312" w:hAnsi="方正仿宋_GB2312" w:eastAsia="方正仿宋_GB2312" w:cs="方正仿宋_GB2312"/>
          <w:color w:val="000000"/>
          <w:kern w:val="0"/>
          <w:sz w:val="28"/>
          <w:szCs w:val="28"/>
        </w:rPr>
        <w:t>:00</w:t>
      </w:r>
    </w:p>
    <w:p w14:paraId="003C4082">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地点：金山商业中心办公室1610#会议室</w:t>
      </w:r>
    </w:p>
    <w:p w14:paraId="7D0FE176">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三、参与人员</w:t>
      </w:r>
    </w:p>
    <w:p w14:paraId="5F08B1D3">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赛迪信息智能制造管控党支部全体党员</w:t>
      </w:r>
    </w:p>
    <w:p w14:paraId="0EE22AD1">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四、活动内容</w:t>
      </w:r>
    </w:p>
    <w:p w14:paraId="1804FD6B">
      <w:pPr>
        <w:widowControl/>
        <w:adjustRightInd w:val="0"/>
        <w:snapToGrid w:val="0"/>
        <w:spacing w:line="560" w:lineRule="exact"/>
        <w:ind w:left="0" w:right="0" w:firstLine="560" w:firstLineChars="200"/>
        <w:jc w:val="left"/>
        <w:rPr>
          <w:rFonts w:hint="eastAsia" w:ascii="方正仿宋_GB2312" w:hAnsi="方正仿宋_GB2312" w:eastAsia="方正仿宋_GB2312" w:cs="方正仿宋_GB2312"/>
          <w:b w:val="0"/>
          <w:bCs w:val="0"/>
          <w:color w:val="000000"/>
          <w:kern w:val="0"/>
          <w:sz w:val="28"/>
          <w:szCs w:val="28"/>
          <w:lang w:eastAsia="zh-CN"/>
        </w:rPr>
      </w:pPr>
      <w:r>
        <w:rPr>
          <w:rFonts w:hint="eastAsia" w:ascii="方正仿宋_GB2312" w:hAnsi="方正仿宋_GB2312" w:eastAsia="方正仿宋_GB2312" w:cs="方正仿宋_GB2312"/>
          <w:b w:val="0"/>
          <w:bCs w:val="0"/>
          <w:color w:val="000000"/>
          <w:kern w:val="0"/>
          <w:sz w:val="28"/>
          <w:szCs w:val="28"/>
          <w:lang w:eastAsia="zh-CN"/>
        </w:rPr>
        <w:t>1.落实“第一议题”学习制度。由支部书记童心同志领学《习近平法治文选》第一卷、《习近平法治思想学习纲要（2025年版）》以及《深入学习贯彻习近平关于注重家庭家教家风建设的重要论述》等内容，引导党员深入理解习近平法治思想的核心要义和实践要求，进一步增强法治思维和制度意识。</w:t>
      </w:r>
    </w:p>
    <w:p w14:paraId="54E081A2">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2.观看廉洁教育专题片。</w:t>
      </w:r>
      <w:r>
        <w:rPr>
          <w:rFonts w:hint="eastAsia" w:ascii="方正仿宋_GB2312" w:hAnsi="方正仿宋_GB2312" w:eastAsia="方正仿宋_GB2312" w:cs="方正仿宋_GB2312"/>
          <w:color w:val="000000"/>
          <w:kern w:val="0"/>
          <w:sz w:val="28"/>
          <w:szCs w:val="28"/>
        </w:rPr>
        <w:t>组织观看电视专题片《一步不停歇 半步不退让》，通过典型案例警示教育，引导党员深刻认识全面从严治党的长期性和复杂性，增强纪律意识和廉洁意识，筑牢拒腐防变的思想防线</w:t>
      </w:r>
      <w:r>
        <w:rPr>
          <w:rFonts w:ascii="方正仿宋_GB2312" w:hAnsi="方正仿宋_GB2312" w:eastAsia="方正仿宋_GB2312" w:cs="方正仿宋_GB2312"/>
          <w:color w:val="000000"/>
          <w:kern w:val="0"/>
          <w:sz w:val="28"/>
          <w:szCs w:val="28"/>
        </w:rPr>
        <w:t>。</w:t>
      </w:r>
    </w:p>
    <w:p w14:paraId="6C08E65A">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3.开展保密教育专题学习。传达学习中冶赛迪保密委员会警示教育会会议精神，组织学习中国中冶《保密工作十五项严禁》，强化党员干部保密意识和安全意识，严格规范信息管理行为，确保企业信息安全。。</w:t>
      </w:r>
    </w:p>
    <w:p w14:paraId="0EC3BCB3">
      <w:pPr>
        <w:widowControl/>
        <w:adjustRightInd w:val="0"/>
        <w:snapToGrid w:val="0"/>
        <w:spacing w:line="560" w:lineRule="exact"/>
        <w:ind w:left="0" w:right="0" w:firstLine="560" w:firstLineChars="200"/>
        <w:jc w:val="left"/>
        <w:rPr>
          <w:rFonts w:ascii="方正仿宋_GB2312" w:hAnsi="方正仿宋_GB2312" w:eastAsia="方正仿宋_GB2312" w:cs="方正仿宋_GB2312"/>
          <w:b w:val="0"/>
          <w:bCs w:val="0"/>
          <w:color w:val="000000"/>
          <w:kern w:val="0"/>
          <w:sz w:val="28"/>
          <w:szCs w:val="28"/>
        </w:rPr>
      </w:pPr>
      <w:r>
        <w:rPr>
          <w:rFonts w:ascii="方正仿宋_GB2312" w:hAnsi="方正仿宋_GB2312" w:eastAsia="方正仿宋_GB2312" w:cs="方正仿宋_GB2312"/>
          <w:b w:val="0"/>
          <w:bCs w:val="0"/>
          <w:color w:val="000000"/>
          <w:kern w:val="0"/>
          <w:sz w:val="28"/>
          <w:szCs w:val="28"/>
        </w:rPr>
        <w:t>4.开展民主生活会会前集中学习研讨。围绕即将召开的民主生活会开展专题学习与交流研讨，组织党员深入学习相关理论内容，统一思想认识，为高质量开展批评与自我批评、查摆问题和整改落实奠定思想基础。</w:t>
      </w:r>
    </w:p>
    <w:p w14:paraId="094802E4">
      <w:pPr>
        <w:widowControl/>
        <w:adjustRightInd w:val="0"/>
        <w:snapToGrid w:val="0"/>
        <w:spacing w:line="560" w:lineRule="exact"/>
        <w:ind w:left="0" w:right="0" w:firstLine="560" w:firstLineChars="200"/>
        <w:jc w:val="left"/>
        <w:rPr>
          <w:rFonts w:hint="default" w:ascii="方正仿宋_GB2312" w:hAnsi="方正仿宋_GB2312" w:eastAsia="方正仿宋_GB2312" w:cs="方正仿宋_GB2312"/>
          <w:b w:val="0"/>
          <w:bCs w:val="0"/>
          <w:color w:val="000000"/>
          <w:kern w:val="0"/>
          <w:sz w:val="28"/>
          <w:szCs w:val="28"/>
          <w:lang w:val="en-US" w:eastAsia="zh-CN"/>
        </w:rPr>
      </w:pPr>
      <w:r>
        <w:rPr>
          <w:rFonts w:hint="eastAsia" w:ascii="方正仿宋_GB2312" w:hAnsi="方正仿宋_GB2312" w:eastAsia="方正仿宋_GB2312" w:cs="方正仿宋_GB2312"/>
          <w:b w:val="0"/>
          <w:bCs w:val="0"/>
          <w:color w:val="000000"/>
          <w:kern w:val="0"/>
          <w:sz w:val="28"/>
          <w:szCs w:val="28"/>
          <w:lang w:val="en-US" w:eastAsia="zh-CN"/>
        </w:rPr>
        <w:t>5.学习贯彻党的二十届四中全会精神。组织学习贯彻党的二十届四中全会精神培训课程第二课：“十五五”时期经济社会发展的重大战略任务，引导党员深入理解国家发展战略部署，结合企业发展实际思考智能制造与数字化转型的发展方向。</w:t>
      </w:r>
    </w:p>
    <w:p w14:paraId="6A87784E">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五、学习要求</w:t>
      </w:r>
    </w:p>
    <w:p w14:paraId="0B1E6F2C">
      <w:pPr>
        <w:widowControl/>
        <w:adjustRightInd w:val="0"/>
        <w:snapToGrid w:val="0"/>
        <w:spacing w:line="560" w:lineRule="exact"/>
        <w:ind w:left="0" w:right="0" w:firstLine="560" w:firstLineChars="200"/>
        <w:jc w:val="left"/>
        <w:rPr>
          <w:rFonts w:ascii="方正仿宋_GB2312" w:hAnsi="方正仿宋_GB2312" w:eastAsia="方正仿宋_GB2312" w:cs="方正仿宋_GB2312"/>
          <w:b w:val="0"/>
          <w:bCs w:val="0"/>
          <w:color w:val="000000"/>
          <w:kern w:val="0"/>
          <w:sz w:val="28"/>
          <w:szCs w:val="28"/>
        </w:rPr>
      </w:pPr>
      <w:r>
        <w:rPr>
          <w:rFonts w:ascii="方正仿宋_GB2312" w:hAnsi="方正仿宋_GB2312" w:eastAsia="方正仿宋_GB2312" w:cs="方正仿宋_GB2312"/>
          <w:b w:val="0"/>
          <w:bCs w:val="0"/>
          <w:color w:val="000000"/>
          <w:kern w:val="0"/>
          <w:sz w:val="28"/>
          <w:szCs w:val="28"/>
        </w:rPr>
        <w:t>（一）提高政治站位，强化理论武装。全体党员要充分认识开展主题党日活动的重要意义，坚持把学习贯彻习近平新时代中国特色社会主义思想作为首要政治任务，切实增强学习的思想自觉和行动自觉。</w:t>
      </w:r>
    </w:p>
    <w:p w14:paraId="18928861">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（二）坚持学深悟透，提升法治意识。通过系统学习习近平法治思想和相关重要论述，引导党员进一步强化法治观念和纪律意识，在工作实践中善于运用法治思维和制度思维解决问题。</w:t>
      </w:r>
    </w:p>
    <w:p w14:paraId="4D7343C4">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（三）坚持学以致用、知行合一，将学习成果转化为推动企业治理能力提升、强化项目管理和提升团队协同能力的具体举措，充分发挥党员先锋模范作用，为企业高质量发展贡献力量。</w:t>
      </w:r>
    </w:p>
    <w:p w14:paraId="6C0CD078">
      <w:pPr>
        <w:ind w:left="0" w:leftChars="0" w:firstLine="0" w:firstLineChars="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方正粗黑宋简体">
    <w:altName w:val="微软雅黑"/>
    <w:panose1 w:val="00000000000000000000"/>
    <w:charset w:val="86"/>
    <w:family w:val="auto"/>
    <w:pitch w:val="default"/>
    <w:sig w:usb0="00000000" w:usb1="00000000" w:usb2="00000012" w:usb3="00000000" w:csb0="00040001" w:csb1="00000000"/>
  </w:font>
  <w:font w:name="方正仿宋_GB2312">
    <w:altName w:val="仿宋"/>
    <w:panose1 w:val="00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KSOFE8852770">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5E2333"/>
    <w:rsid w:val="755E2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357" w:right="57"/>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spacing w:before="260" w:after="260" w:line="416" w:lineRule="auto"/>
      <w:outlineLvl w:val="1"/>
    </w:pPr>
    <w:rPr>
      <w:rFonts w:ascii="Cambria" w:hAnsi="Cambria"/>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2026-03-17T08:28:00Z</dcterms:created>
  <dc:creator>qiaolei zhang</dc:creator>
  <cp:lastModifiedBy>qiaolei zhang</cp:lastModifiedBy>
  <dcterms:modified xsi:type="dcterms:W3CDTF">2026-03-17T08:29:09Z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C4CDF156571440CCBDC13D50C750C6C6_11</vt:lpwstr>
  </property>
  <property fmtid="{D5CDD505-2E9C-101B-9397-08002B2CF9AE}" pid="4" name="KSOTemplateDocerSaveRecord">
    <vt:lpwstr>eyJoZGlkIjoiNTA5M2ZhZTUzZDUwNTA2OWI4NmY0M2JmMjc1OGJiNjEiLCJ1c2VySWQiOiI5MzE5MzcxNjgifQ==</vt:lpwstr>
  </property>
</Properties>
</file>