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
        <w:ind w:left="120" w:right="0" w:firstLine="0"/>
        <w:jc w:val="left"/>
        <w:rPr>
          <w:b/>
          <w:sz w:val="52"/>
        </w:rPr>
      </w:pPr>
      <w:r>
        <w:rPr/>
        <w:pict>
          <v:shape style="position:absolute;margin-left:492.589478pt;margin-top:234.777512pt;width:98pt;height:16pt;mso-position-horizontal-relative:page;mso-position-vertical-relative:page;z-index:-251790336" coordorigin="9852,4696" coordsize="1960,320" path="m11757,4696l9906,4696,9870,4750,9852,4819,9852,4892,9870,4960,9906,5015,11757,5015,11793,4960,11811,4892,11811,4819,11793,4750,11757,4696xe" filled="true" fillcolor="#de85d7" stroked="false">
            <v:path arrowok="t"/>
            <v:fill type="solid"/>
            <w10:wrap type="none"/>
          </v:shape>
        </w:pict>
      </w:r>
      <w:r>
        <w:rPr>
          <w:b/>
          <w:w w:val="99"/>
          <w:sz w:val="52"/>
        </w:rPr>
        <w:t> </w:t>
      </w:r>
    </w:p>
    <w:p>
      <w:pPr>
        <w:spacing w:before="139"/>
        <w:ind w:left="120" w:right="0" w:firstLine="0"/>
        <w:jc w:val="left"/>
        <w:rPr>
          <w:b/>
          <w:sz w:val="48"/>
        </w:rPr>
      </w:pPr>
      <w:r>
        <w:rPr>
          <w:b/>
          <w:sz w:val="48"/>
        </w:rPr>
        <w:t>某甲财产保险有限公司深圳分公司</w:t>
      </w:r>
      <w:r>
        <w:rPr>
          <w:b/>
          <w:w w:val="99"/>
          <w:sz w:val="48"/>
        </w:rPr>
        <w:t> </w:t>
      </w:r>
    </w:p>
    <w:p>
      <w:pPr>
        <w:spacing w:before="9"/>
        <w:ind w:left="602" w:right="0" w:firstLine="0"/>
        <w:jc w:val="left"/>
        <w:rPr>
          <w:b/>
          <w:sz w:val="48"/>
        </w:rPr>
      </w:pPr>
      <w:r>
        <w:rPr>
          <w:b/>
          <w:w w:val="99"/>
          <w:sz w:val="48"/>
        </w:rPr>
        <w:t> </w:t>
      </w:r>
    </w:p>
    <w:p>
      <w:pPr>
        <w:spacing w:before="9"/>
        <w:ind w:left="120" w:right="0" w:firstLine="0"/>
        <w:jc w:val="left"/>
        <w:rPr>
          <w:b/>
          <w:sz w:val="48"/>
        </w:rPr>
      </w:pPr>
      <w:r>
        <w:rPr>
          <w:b/>
          <w:w w:val="99"/>
          <w:sz w:val="48"/>
        </w:rPr>
        <w:t> </w:t>
      </w:r>
    </w:p>
    <w:p>
      <w:pPr>
        <w:spacing w:before="9"/>
        <w:ind w:left="120" w:right="0" w:firstLine="0"/>
        <w:jc w:val="left"/>
        <w:rPr>
          <w:b/>
          <w:sz w:val="72"/>
        </w:rPr>
      </w:pPr>
      <w:r>
        <w:rPr>
          <w:b/>
          <w:w w:val="99"/>
          <w:sz w:val="48"/>
        </w:rPr>
        <w:t>   </w:t>
      </w:r>
      <w:r>
        <w:rPr>
          <w:b/>
          <w:sz w:val="48"/>
        </w:rPr>
        <w:t>深圳市某乙保险公估有限责任公司</w:t>
      </w:r>
      <w:r>
        <w:rPr>
          <w:b/>
          <w:w w:val="99"/>
          <w:sz w:val="72"/>
        </w:rPr>
        <w:t> </w:t>
      </w:r>
    </w:p>
    <w:p>
      <w:pPr>
        <w:spacing w:before="12"/>
        <w:ind w:left="120" w:right="0" w:firstLine="0"/>
        <w:jc w:val="left"/>
        <w:rPr>
          <w:b/>
          <w:sz w:val="72"/>
        </w:rPr>
      </w:pPr>
      <w:r>
        <w:rPr>
          <w:b/>
          <w:w w:val="99"/>
          <w:sz w:val="72"/>
        </w:rPr>
        <w:t> </w:t>
      </w:r>
    </w:p>
    <w:p>
      <w:pPr>
        <w:spacing w:before="14"/>
        <w:ind w:left="1732" w:right="2581" w:firstLine="0"/>
        <w:jc w:val="center"/>
        <w:rPr>
          <w:b/>
          <w:sz w:val="72"/>
        </w:rPr>
      </w:pPr>
      <w:r>
        <w:rPr>
          <w:b/>
          <w:sz w:val="72"/>
        </w:rPr>
        <w:t>理赔合作协议</w:t>
      </w:r>
      <w:r>
        <w:rPr>
          <w:b/>
          <w:w w:val="99"/>
          <w:sz w:val="72"/>
        </w:rPr>
        <w:t> </w:t>
      </w:r>
    </w:p>
    <w:p>
      <w:pPr>
        <w:pStyle w:val="BodyText"/>
        <w:ind w:left="0"/>
        <w:rPr>
          <w:b/>
          <w:sz w:val="72"/>
        </w:rPr>
      </w:pPr>
    </w:p>
    <w:p>
      <w:pPr>
        <w:pStyle w:val="BodyText"/>
        <w:ind w:left="0"/>
        <w:rPr>
          <w:b/>
          <w:sz w:val="72"/>
        </w:rPr>
      </w:pPr>
    </w:p>
    <w:p>
      <w:pPr>
        <w:pStyle w:val="BodyText"/>
        <w:ind w:left="0"/>
        <w:rPr>
          <w:b/>
          <w:sz w:val="72"/>
        </w:rPr>
      </w:pPr>
    </w:p>
    <w:p>
      <w:pPr>
        <w:pStyle w:val="BodyText"/>
        <w:spacing w:before="1"/>
        <w:ind w:left="0"/>
        <w:rPr>
          <w:b/>
          <w:sz w:val="85"/>
        </w:rPr>
      </w:pPr>
    </w:p>
    <w:p>
      <w:pPr>
        <w:spacing w:before="0"/>
        <w:ind w:left="1732" w:right="1784" w:firstLine="0"/>
        <w:jc w:val="center"/>
        <w:rPr>
          <w:b/>
          <w:sz w:val="32"/>
        </w:rPr>
      </w:pPr>
      <w:r>
        <w:rPr>
          <w:b/>
          <w:sz w:val="32"/>
        </w:rPr>
        <w:t>2021</w:t>
      </w:r>
      <w:r>
        <w:rPr>
          <w:b/>
          <w:spacing w:val="-54"/>
          <w:sz w:val="32"/>
        </w:rPr>
        <w:t> 年 </w:t>
      </w:r>
      <w:r>
        <w:rPr>
          <w:b/>
          <w:sz w:val="32"/>
        </w:rPr>
        <w:t>10</w:t>
      </w:r>
      <w:r>
        <w:rPr>
          <w:b/>
          <w:spacing w:val="-40"/>
          <w:sz w:val="32"/>
        </w:rPr>
        <w:t> 月</w:t>
      </w:r>
      <w:r>
        <w:rPr>
          <w:b/>
          <w:spacing w:val="-40"/>
          <w:w w:val="98"/>
          <w:sz w:val="32"/>
        </w:rPr>
        <w:t> </w:t>
      </w:r>
    </w:p>
    <w:p>
      <w:pPr>
        <w:pStyle w:val="Heading1"/>
        <w:spacing w:before="240"/>
        <w:ind w:left="0"/>
        <w:jc w:val="center"/>
      </w:pPr>
      <w:r>
        <w:rPr>
          <w:w w:val="99"/>
        </w:rPr>
        <w:t> </w:t>
      </w:r>
    </w:p>
    <w:p>
      <w:pPr>
        <w:spacing w:after="0"/>
        <w:jc w:val="center"/>
        <w:sectPr>
          <w:type w:val="continuous"/>
          <w:pgSz w:w="11910" w:h="16840"/>
          <w:pgMar w:top="1540" w:bottom="280" w:left="1680" w:right="1540"/>
        </w:sectPr>
      </w:pPr>
    </w:p>
    <w:p>
      <w:pPr>
        <w:pStyle w:val="BodyText"/>
        <w:ind w:left="0"/>
        <w:rPr>
          <w:b/>
          <w:sz w:val="20"/>
        </w:rPr>
      </w:pPr>
      <w:r>
        <w:rPr/>
        <w:pict>
          <v:shape style="position:absolute;margin-left:286.308594pt;margin-top:35.937523pt;width:274.6pt;height:14.05pt;mso-position-horizontal-relative:page;mso-position-vertical-relative:page;z-index:251661312" coordorigin="5726,719" coordsize="5492,281" path="m11168,719l5776,719,5739,781,5726,859,5739,937,5776,1000,11168,1000,11206,937,11218,859,11206,781,11168,719xe" filled="true" fillcolor="#819eb1" stroked="false">
            <v:path arrowok="t"/>
            <v:fill type="solid"/>
            <w10:wrap type="none"/>
          </v:shape>
        </w:pict>
      </w:r>
      <w:r>
        <w:rPr/>
        <w:pict>
          <v:line style="position:absolute;mso-position-horizontal-relative:page;mso-position-vertical-relative:page;z-index:251662336" from="54.360001pt,259.22998pt" to="54.360001pt,362.44998pt" stroked="true" strokeweight=".72pt" strokecolor="#000000">
            <v:stroke dashstyle="solid"/>
            <w10:wrap type="none"/>
          </v:line>
        </w:pict>
      </w:r>
      <w:r>
        <w:rPr/>
        <w:pict>
          <v:line style="position:absolute;mso-position-horizontal-relative:page;mso-position-vertical-relative:page;z-index:251663360" from="54.360001pt,424.849976pt" to="54.360001pt,528.069976pt" stroked="true" strokeweight=".72pt" strokecolor="#000000">
            <v:stroke dashstyle="solid"/>
            <w10:wrap type="none"/>
          </v:line>
        </w:pict>
      </w:r>
      <w:r>
        <w:rPr/>
        <w:pict>
          <v:line style="position:absolute;mso-position-horizontal-relative:page;mso-position-vertical-relative:page;z-index:251664384" from="54.360001pt,580.036011pt" to="54.360001pt,632.140011pt" stroked="true" strokeweight=".72pt" strokecolor="#000000">
            <v:stroke dashstyle="solid"/>
            <w10:wrap type="none"/>
          </v:line>
        </w:pict>
      </w:r>
    </w:p>
    <w:p>
      <w:pPr>
        <w:pStyle w:val="BodyText"/>
        <w:ind w:left="0"/>
        <w:rPr>
          <w:b/>
          <w:sz w:val="20"/>
        </w:rPr>
      </w:pPr>
    </w:p>
    <w:p>
      <w:pPr>
        <w:pStyle w:val="BodyText"/>
        <w:spacing w:before="11"/>
        <w:ind w:left="0"/>
        <w:rPr>
          <w:b/>
          <w:sz w:val="21"/>
        </w:rPr>
      </w:pPr>
    </w:p>
    <w:p>
      <w:pPr>
        <w:spacing w:before="62"/>
        <w:ind w:left="1732" w:right="1730" w:firstLine="0"/>
        <w:jc w:val="center"/>
        <w:rPr>
          <w:b/>
          <w:sz w:val="28"/>
        </w:rPr>
      </w:pPr>
      <w:r>
        <w:rPr/>
        <w:pict>
          <v:shape style="position:absolute;margin-left:314.40863pt;margin-top:19.897539pt;width:46.95pt;height:14.05pt;mso-position-horizontal-relative:page;mso-position-vertical-relative:paragraph;z-index:251660288" coordorigin="6288,398" coordsize="939,281" path="m7177,398l6338,398,6301,460,6288,538,6301,616,6338,679,7177,679,7214,616,7226,538,7214,460,7177,398xe" filled="true" fillcolor="#c58487" stroked="false">
            <v:path arrowok="t"/>
            <v:fill type="solid"/>
            <w10:wrap type="none"/>
          </v:shape>
        </w:pict>
      </w:r>
      <w:r>
        <w:rPr>
          <w:b/>
          <w:sz w:val="28"/>
        </w:rPr>
        <w:t>理赔合作协议</w:t>
      </w:r>
      <w:r>
        <w:rPr>
          <w:b/>
          <w:w w:val="99"/>
          <w:sz w:val="28"/>
        </w:rPr>
        <w:t> </w:t>
      </w:r>
    </w:p>
    <w:p>
      <w:pPr>
        <w:pStyle w:val="BodyText"/>
        <w:ind w:left="0"/>
        <w:rPr>
          <w:b/>
          <w:sz w:val="20"/>
        </w:rPr>
      </w:pPr>
    </w:p>
    <w:p>
      <w:pPr>
        <w:pStyle w:val="BodyText"/>
        <w:ind w:left="0"/>
        <w:rPr>
          <w:b/>
          <w:sz w:val="20"/>
        </w:rPr>
      </w:pPr>
    </w:p>
    <w:p>
      <w:pPr>
        <w:pStyle w:val="BodyText"/>
        <w:ind w:left="0"/>
        <w:rPr>
          <w:b/>
          <w:sz w:val="20"/>
        </w:rPr>
      </w:pPr>
    </w:p>
    <w:p>
      <w:pPr>
        <w:pStyle w:val="BodyText"/>
        <w:spacing w:before="1"/>
        <w:ind w:left="0"/>
        <w:rPr>
          <w:b/>
          <w:sz w:val="10"/>
        </w:rPr>
      </w:pPr>
      <w:r>
        <w:rPr/>
        <w:pict>
          <v:shape style="position:absolute;margin-left:314.40863pt;margin-top:8.434403pt;width:46.95pt;height:14.05pt;mso-position-horizontal-relative:page;mso-position-vertical-relative:paragraph;z-index:-251657216;mso-wrap-distance-left:0;mso-wrap-distance-right:0" coordorigin="6288,169" coordsize="939,281" path="m7177,169l6338,169,6301,231,6288,309,6301,387,6338,449,7177,449,7214,387,7226,309,7214,231,7177,169xe" filled="true" fillcolor="#c783e2" stroked="false">
            <v:path arrowok="t"/>
            <v:fill type="solid"/>
            <w10:wrap type="topAndBottom"/>
          </v:shape>
        </w:pict>
      </w:r>
    </w:p>
    <w:p>
      <w:pPr>
        <w:pStyle w:val="BodyText"/>
        <w:ind w:left="0"/>
        <w:rPr>
          <w:b/>
          <w:sz w:val="20"/>
        </w:rPr>
      </w:pPr>
    </w:p>
    <w:p>
      <w:pPr>
        <w:pStyle w:val="BodyText"/>
        <w:ind w:left="0"/>
        <w:rPr>
          <w:b/>
          <w:sz w:val="20"/>
        </w:rPr>
      </w:pPr>
    </w:p>
    <w:p>
      <w:pPr>
        <w:pStyle w:val="BodyText"/>
        <w:spacing w:before="8"/>
        <w:ind w:left="0"/>
        <w:rPr>
          <w:b/>
          <w:sz w:val="24"/>
        </w:rPr>
      </w:pPr>
    </w:p>
    <w:p>
      <w:pPr>
        <w:pStyle w:val="BodyText"/>
        <w:spacing w:line="417" w:lineRule="auto" w:before="62"/>
        <w:ind w:right="3104"/>
      </w:pPr>
      <w:r>
        <w:rPr/>
        <w:t>甲  方：某甲财产保险有限公司深圳分公司联系人：刘某文 </w:t>
      </w:r>
    </w:p>
    <w:p>
      <w:pPr>
        <w:pStyle w:val="BodyText"/>
      </w:pPr>
      <w:r>
        <w:rPr/>
        <w:t>地 址：深圳市南山中洲大厦 30 楼M 室 </w:t>
      </w:r>
    </w:p>
    <w:p>
      <w:pPr>
        <w:pStyle w:val="BodyText"/>
        <w:spacing w:line="321" w:lineRule="auto" w:before="237"/>
        <w:ind w:right="6183"/>
      </w:pPr>
      <w:r>
        <w:rPr>
          <w:rFonts w:ascii="黑体" w:eastAsia="黑体" w:hint="eastAsia"/>
        </w:rPr>
        <w:t>联系电话：</w:t>
      </w:r>
      <w:r>
        <w:rPr/>
        <w:t>123456 </w:t>
      </w:r>
      <w:r>
        <w:rPr>
          <w:rFonts w:ascii="黑体" w:eastAsia="黑体" w:hint="eastAsia"/>
        </w:rPr>
        <w:t>电子邮件：</w:t>
      </w:r>
      <w:r>
        <w:rPr/>
        <w:t>123456 </w:t>
      </w:r>
    </w:p>
    <w:p>
      <w:pPr>
        <w:pStyle w:val="BodyText"/>
        <w:spacing w:line="357" w:lineRule="exact"/>
      </w:pPr>
      <w:r>
        <w:rPr>
          <w:w w:val="100"/>
        </w:rPr>
        <w:t> </w:t>
      </w:r>
    </w:p>
    <w:p>
      <w:pPr>
        <w:pStyle w:val="BodyText"/>
        <w:spacing w:line="417" w:lineRule="auto" w:before="150"/>
        <w:ind w:right="3104"/>
      </w:pPr>
      <w:r>
        <w:rPr/>
        <w:t>乙  方：深圳市中安保险公估有限责任公司联系人：卓涛 </w:t>
      </w:r>
    </w:p>
    <w:p>
      <w:pPr>
        <w:pStyle w:val="BodyText"/>
      </w:pPr>
      <w:r>
        <w:rPr/>
        <w:t>地 址：深圳市罗湖区清水河一路 52 号博兴大厦 10B </w:t>
      </w:r>
    </w:p>
    <w:p>
      <w:pPr>
        <w:pStyle w:val="BodyText"/>
        <w:spacing w:line="321" w:lineRule="auto" w:before="236"/>
        <w:ind w:right="6183"/>
      </w:pPr>
      <w:r>
        <w:rPr>
          <w:rFonts w:ascii="黑体" w:eastAsia="黑体" w:hint="eastAsia"/>
        </w:rPr>
        <w:t>联系电话：</w:t>
      </w:r>
      <w:r>
        <w:rPr/>
        <w:t>123456 </w:t>
      </w:r>
      <w:r>
        <w:rPr>
          <w:rFonts w:ascii="黑体" w:eastAsia="黑体" w:hint="eastAsia"/>
        </w:rPr>
        <w:t>电子邮件：</w:t>
      </w:r>
      <w:r>
        <w:rPr/>
        <w:t>123456 </w:t>
      </w:r>
    </w:p>
    <w:p>
      <w:pPr>
        <w:pStyle w:val="BodyText"/>
        <w:spacing w:line="357" w:lineRule="exact"/>
      </w:pPr>
      <w:r>
        <w:rPr>
          <w:w w:val="100"/>
        </w:rPr>
        <w:t> </w:t>
      </w:r>
    </w:p>
    <w:p>
      <w:pPr>
        <w:pStyle w:val="BodyText"/>
        <w:spacing w:before="155"/>
        <w:ind w:left="540"/>
      </w:pPr>
      <w:r>
        <w:rPr>
          <w:w w:val="100"/>
        </w:rPr>
        <w:t> </w:t>
      </w:r>
    </w:p>
    <w:p>
      <w:pPr>
        <w:pStyle w:val="BodyText"/>
        <w:spacing w:line="348" w:lineRule="auto" w:before="159"/>
        <w:ind w:right="184" w:firstLine="419"/>
        <w:jc w:val="both"/>
      </w:pPr>
      <w:r>
        <w:rPr/>
        <w:t>为维护社会安定团结，保障保险行业理赔秩序的合法和规范，打</w:t>
      </w:r>
      <w:r>
        <w:rPr>
          <w:spacing w:val="-7"/>
        </w:rPr>
        <w:t>击恶意欺诈的骗保行为，依据我国《中华人民共和国民法典》、《中</w:t>
      </w:r>
      <w:r>
        <w:rPr>
          <w:spacing w:val="-6"/>
        </w:rPr>
        <w:t>华人民共和国保险法》等的相关法律、法规，乙方向甲方提供保险事</w:t>
      </w:r>
      <w:r>
        <w:rPr>
          <w:spacing w:val="-5"/>
        </w:rPr>
        <w:t>故疑难案件调查服务，经双方友好协商，订立本调查合作协议。 </w:t>
      </w:r>
    </w:p>
    <w:p>
      <w:pPr>
        <w:pStyle w:val="BodyText"/>
        <w:spacing w:before="1"/>
        <w:ind w:left="540"/>
      </w:pPr>
      <w:r>
        <w:rPr>
          <w:w w:val="100"/>
        </w:rPr>
        <w:t> </w:t>
      </w:r>
    </w:p>
    <w:p>
      <w:pPr>
        <w:pStyle w:val="Heading1"/>
        <w:spacing w:before="157"/>
      </w:pPr>
      <w:r>
        <w:rPr/>
        <w:t>一、 合作内容</w:t>
      </w:r>
      <w:r>
        <w:rPr>
          <w:w w:val="99"/>
        </w:rPr>
        <w:t> </w:t>
      </w:r>
    </w:p>
    <w:p>
      <w:pPr>
        <w:pStyle w:val="BodyText"/>
        <w:spacing w:before="9"/>
        <w:ind w:left="0"/>
        <w:rPr>
          <w:b/>
          <w:sz w:val="20"/>
        </w:rPr>
      </w:pPr>
    </w:p>
    <w:p>
      <w:pPr>
        <w:pStyle w:val="ListParagraph"/>
        <w:numPr>
          <w:ilvl w:val="0"/>
          <w:numId w:val="1"/>
        </w:numPr>
        <w:tabs>
          <w:tab w:pos="963" w:val="left" w:leader="none"/>
        </w:tabs>
        <w:spacing w:line="240" w:lineRule="auto" w:before="0" w:after="0"/>
        <w:ind w:left="962" w:right="0" w:hanging="284"/>
        <w:jc w:val="left"/>
        <w:rPr>
          <w:sz w:val="28"/>
        </w:rPr>
      </w:pPr>
      <w:r>
        <w:rPr>
          <w:spacing w:val="-12"/>
          <w:sz w:val="28"/>
        </w:rPr>
        <w:t>委托案件范围：甲方委托乙方调查的案件包括机动车辆保险、</w:t>
      </w:r>
    </w:p>
    <w:p>
      <w:pPr>
        <w:spacing w:after="0" w:line="240" w:lineRule="auto"/>
        <w:jc w:val="left"/>
        <w:rPr>
          <w:sz w:val="28"/>
        </w:rPr>
        <w:sectPr>
          <w:pgSz w:w="11910" w:h="16840"/>
          <w:pgMar w:top="700" w:bottom="280" w:left="1680" w:right="1540"/>
        </w:sectPr>
      </w:pPr>
    </w:p>
    <w:p>
      <w:pPr>
        <w:pStyle w:val="BodyText"/>
        <w:spacing w:line="417" w:lineRule="auto" w:before="34"/>
        <w:ind w:right="258"/>
      </w:pPr>
      <w:r>
        <w:rPr>
          <w:spacing w:val="-11"/>
        </w:rPr>
        <w:t>短期健康险、意外伤害保险及其他财产保险事故疑难案件。具体调查</w:t>
      </w:r>
      <w:r>
        <w:rPr>
          <w:spacing w:val="-2"/>
        </w:rPr>
        <w:t>内容包括：</w:t>
      </w:r>
      <w:r>
        <w:rPr/>
        <w:t> </w:t>
      </w:r>
    </w:p>
    <w:p>
      <w:pPr>
        <w:pStyle w:val="ListParagraph"/>
        <w:numPr>
          <w:ilvl w:val="0"/>
          <w:numId w:val="2"/>
        </w:numPr>
        <w:tabs>
          <w:tab w:pos="1391" w:val="left" w:leader="none"/>
        </w:tabs>
        <w:spacing w:line="358" w:lineRule="exact" w:before="0" w:after="0"/>
        <w:ind w:left="1391" w:right="0" w:hanging="705"/>
        <w:jc w:val="left"/>
        <w:rPr>
          <w:sz w:val="28"/>
        </w:rPr>
      </w:pPr>
      <w:r>
        <w:rPr>
          <w:spacing w:val="-3"/>
          <w:sz w:val="28"/>
        </w:rPr>
        <w:t>保险事故及损失真实性调查与取证。</w:t>
      </w:r>
      <w:r>
        <w:rPr>
          <w:spacing w:val="-6"/>
          <w:sz w:val="28"/>
        </w:rPr>
        <w:t> </w:t>
      </w:r>
      <w:r>
        <w:rPr>
          <w:sz w:val="28"/>
        </w:rPr>
        <w:t> </w:t>
      </w:r>
    </w:p>
    <w:p>
      <w:pPr>
        <w:pStyle w:val="BodyText"/>
        <w:spacing w:before="9"/>
        <w:ind w:left="0"/>
        <w:rPr>
          <w:sz w:val="20"/>
        </w:rPr>
      </w:pPr>
    </w:p>
    <w:p>
      <w:pPr>
        <w:pStyle w:val="ListParagraph"/>
        <w:numPr>
          <w:ilvl w:val="0"/>
          <w:numId w:val="2"/>
        </w:numPr>
        <w:tabs>
          <w:tab w:pos="1389" w:val="left" w:leader="none"/>
        </w:tabs>
        <w:spacing w:line="240" w:lineRule="auto" w:before="1" w:after="0"/>
        <w:ind w:left="1388" w:right="0" w:hanging="703"/>
        <w:jc w:val="left"/>
        <w:rPr>
          <w:sz w:val="28"/>
        </w:rPr>
      </w:pPr>
      <w:r>
        <w:rPr>
          <w:spacing w:val="-14"/>
          <w:sz w:val="28"/>
        </w:rPr>
        <w:t>保险事故单证材料的真实性、有效性、合理性调查与取证。 </w:t>
      </w:r>
    </w:p>
    <w:p>
      <w:pPr>
        <w:pStyle w:val="BodyText"/>
        <w:spacing w:before="8"/>
        <w:ind w:left="0"/>
        <w:rPr>
          <w:sz w:val="20"/>
        </w:rPr>
      </w:pPr>
    </w:p>
    <w:p>
      <w:pPr>
        <w:pStyle w:val="ListParagraph"/>
        <w:numPr>
          <w:ilvl w:val="0"/>
          <w:numId w:val="2"/>
        </w:numPr>
        <w:tabs>
          <w:tab w:pos="1389" w:val="left" w:leader="none"/>
        </w:tabs>
        <w:spacing w:line="417" w:lineRule="auto" w:before="0" w:after="0"/>
        <w:ind w:left="120" w:right="255" w:firstLine="566"/>
        <w:jc w:val="both"/>
        <w:rPr>
          <w:sz w:val="28"/>
        </w:rPr>
      </w:pPr>
      <w:r>
        <w:rPr>
          <w:spacing w:val="-11"/>
          <w:sz w:val="28"/>
        </w:rPr>
        <w:t>保险事故中相关当事人</w:t>
      </w:r>
      <w:r>
        <w:rPr>
          <w:sz w:val="28"/>
        </w:rPr>
        <w:t>（</w:t>
      </w:r>
      <w:r>
        <w:rPr>
          <w:spacing w:val="-10"/>
          <w:sz w:val="28"/>
        </w:rPr>
        <w:t>包括但不限于投保人、被保险人</w:t>
      </w:r>
      <w:r>
        <w:rPr>
          <w:spacing w:val="-7"/>
          <w:sz w:val="28"/>
        </w:rPr>
        <w:t>、受益人、三者、驾驶员</w:t>
      </w:r>
      <w:r>
        <w:rPr>
          <w:spacing w:val="-17"/>
          <w:sz w:val="28"/>
        </w:rPr>
        <w:t>）</w:t>
      </w:r>
      <w:r>
        <w:rPr>
          <w:spacing w:val="-8"/>
          <w:sz w:val="28"/>
        </w:rPr>
        <w:t>基本情况、工作单位、工薪收入情况、户</w:t>
      </w:r>
      <w:r>
        <w:rPr>
          <w:spacing w:val="-12"/>
          <w:sz w:val="28"/>
        </w:rPr>
        <w:t>藉性质及家庭情况、财务状况、医疗费用、驾驶员驾驶资格情况及是</w:t>
      </w:r>
      <w:r>
        <w:rPr>
          <w:spacing w:val="-9"/>
          <w:sz w:val="28"/>
        </w:rPr>
        <w:t>否酒后驾驶等真实性调查与取证。 </w:t>
      </w:r>
    </w:p>
    <w:p>
      <w:pPr>
        <w:pStyle w:val="ListParagraph"/>
        <w:numPr>
          <w:ilvl w:val="0"/>
          <w:numId w:val="2"/>
        </w:numPr>
        <w:tabs>
          <w:tab w:pos="1394" w:val="left" w:leader="none"/>
        </w:tabs>
        <w:spacing w:line="417" w:lineRule="auto" w:before="0" w:after="0"/>
        <w:ind w:left="120" w:right="258" w:firstLine="566"/>
        <w:jc w:val="left"/>
        <w:rPr>
          <w:sz w:val="28"/>
        </w:rPr>
      </w:pPr>
      <w:r>
        <w:rPr>
          <w:spacing w:val="-1"/>
          <w:sz w:val="28"/>
        </w:rPr>
        <w:t>保险事故中人伤伤残等级评定情况的有效性、合理性调查与取证。</w:t>
      </w:r>
      <w:r>
        <w:rPr>
          <w:sz w:val="28"/>
        </w:rPr>
        <w:t> </w:t>
      </w:r>
    </w:p>
    <w:p>
      <w:pPr>
        <w:pStyle w:val="ListParagraph"/>
        <w:numPr>
          <w:ilvl w:val="0"/>
          <w:numId w:val="2"/>
        </w:numPr>
        <w:tabs>
          <w:tab w:pos="1391" w:val="left" w:leader="none"/>
        </w:tabs>
        <w:spacing w:line="358" w:lineRule="exact" w:before="0" w:after="0"/>
        <w:ind w:left="1391" w:right="0" w:hanging="705"/>
        <w:jc w:val="left"/>
        <w:rPr>
          <w:sz w:val="28"/>
        </w:rPr>
      </w:pPr>
      <w:r>
        <w:rPr>
          <w:spacing w:val="-2"/>
          <w:sz w:val="28"/>
        </w:rPr>
        <w:t>他伤</w:t>
      </w:r>
      <w:r>
        <w:rPr>
          <w:sz w:val="28"/>
        </w:rPr>
        <w:t>/</w:t>
      </w:r>
      <w:r>
        <w:rPr>
          <w:spacing w:val="-3"/>
          <w:sz w:val="28"/>
        </w:rPr>
        <w:t>自伤、他杀</w:t>
      </w:r>
      <w:r>
        <w:rPr>
          <w:sz w:val="28"/>
        </w:rPr>
        <w:t>/</w:t>
      </w:r>
      <w:r>
        <w:rPr>
          <w:spacing w:val="-2"/>
          <w:sz w:val="28"/>
        </w:rPr>
        <w:t>自杀的调查与取证。 </w:t>
      </w:r>
    </w:p>
    <w:p>
      <w:pPr>
        <w:pStyle w:val="BodyText"/>
        <w:spacing w:before="9"/>
        <w:ind w:left="0"/>
        <w:rPr>
          <w:sz w:val="20"/>
        </w:rPr>
      </w:pPr>
    </w:p>
    <w:p>
      <w:pPr>
        <w:pStyle w:val="ListParagraph"/>
        <w:numPr>
          <w:ilvl w:val="0"/>
          <w:numId w:val="2"/>
        </w:numPr>
        <w:tabs>
          <w:tab w:pos="1394" w:val="left" w:leader="none"/>
        </w:tabs>
        <w:spacing w:line="417" w:lineRule="auto" w:before="0" w:after="0"/>
        <w:ind w:left="120" w:right="258" w:firstLine="566"/>
        <w:jc w:val="left"/>
        <w:rPr>
          <w:sz w:val="28"/>
        </w:rPr>
      </w:pPr>
      <w:r>
        <w:rPr>
          <w:spacing w:val="-1"/>
          <w:sz w:val="28"/>
        </w:rPr>
        <w:t>投保险、被保险人、受益人是否存在故意制造保险事故的调查。</w:t>
      </w:r>
      <w:r>
        <w:rPr>
          <w:sz w:val="28"/>
        </w:rPr>
        <w:t> </w:t>
      </w:r>
    </w:p>
    <w:p>
      <w:pPr>
        <w:pStyle w:val="ListParagraph"/>
        <w:numPr>
          <w:ilvl w:val="0"/>
          <w:numId w:val="2"/>
        </w:numPr>
        <w:tabs>
          <w:tab w:pos="1394" w:val="left" w:leader="none"/>
        </w:tabs>
        <w:spacing w:line="417" w:lineRule="auto" w:before="0" w:after="0"/>
        <w:ind w:left="120" w:right="258" w:firstLine="566"/>
        <w:jc w:val="left"/>
        <w:rPr>
          <w:sz w:val="28"/>
        </w:rPr>
      </w:pPr>
      <w:r>
        <w:rPr>
          <w:spacing w:val="-1"/>
          <w:sz w:val="28"/>
        </w:rPr>
        <w:t>视不同案件的特殊性，可酌情增加或减少调查的项目及内</w:t>
      </w:r>
      <w:r>
        <w:rPr>
          <w:spacing w:val="-3"/>
          <w:sz w:val="28"/>
        </w:rPr>
        <w:t>容，委托事项以案件委托书的委托内容为准。 </w:t>
      </w:r>
    </w:p>
    <w:p>
      <w:pPr>
        <w:pStyle w:val="ListParagraph"/>
        <w:numPr>
          <w:ilvl w:val="0"/>
          <w:numId w:val="1"/>
        </w:numPr>
        <w:tabs>
          <w:tab w:pos="1244" w:val="left" w:leader="none"/>
        </w:tabs>
        <w:spacing w:line="358" w:lineRule="exact" w:before="0" w:after="0"/>
        <w:ind w:left="1243" w:right="0" w:hanging="284"/>
        <w:jc w:val="left"/>
        <w:rPr>
          <w:sz w:val="28"/>
        </w:rPr>
      </w:pPr>
      <w:r>
        <w:rPr>
          <w:spacing w:val="-2"/>
          <w:sz w:val="28"/>
        </w:rPr>
        <w:t>合作流程 </w:t>
      </w:r>
    </w:p>
    <w:p>
      <w:pPr>
        <w:pStyle w:val="BodyText"/>
        <w:spacing w:before="9"/>
        <w:ind w:left="0"/>
        <w:rPr>
          <w:sz w:val="20"/>
        </w:rPr>
      </w:pPr>
    </w:p>
    <w:p>
      <w:pPr>
        <w:pStyle w:val="ListParagraph"/>
        <w:numPr>
          <w:ilvl w:val="0"/>
          <w:numId w:val="3"/>
        </w:numPr>
        <w:tabs>
          <w:tab w:pos="1387" w:val="left" w:leader="none"/>
        </w:tabs>
        <w:spacing w:line="417" w:lineRule="auto" w:before="0" w:after="0"/>
        <w:ind w:left="120" w:right="255" w:firstLine="559"/>
        <w:jc w:val="both"/>
        <w:rPr>
          <w:sz w:val="28"/>
        </w:rPr>
      </w:pPr>
      <w:r>
        <w:rPr>
          <w:spacing w:val="-1"/>
          <w:sz w:val="28"/>
        </w:rPr>
        <w:t>乙方接到甲方的委托后当天回复是否接受委托，乙方接受</w:t>
      </w:r>
      <w:r>
        <w:rPr>
          <w:spacing w:val="-22"/>
          <w:sz w:val="28"/>
        </w:rPr>
        <w:t>委托后，视工作需要，确定是否联系事故当事人。属于需联系范畴的， </w:t>
      </w:r>
      <w:r>
        <w:rPr>
          <w:spacing w:val="-3"/>
          <w:sz w:val="28"/>
        </w:rPr>
        <w:t>在当天联系，并告知案件已转入调查程序。 </w:t>
      </w:r>
    </w:p>
    <w:p>
      <w:pPr>
        <w:pStyle w:val="ListParagraph"/>
        <w:numPr>
          <w:ilvl w:val="0"/>
          <w:numId w:val="3"/>
        </w:numPr>
        <w:tabs>
          <w:tab w:pos="1387" w:val="left" w:leader="none"/>
        </w:tabs>
        <w:spacing w:line="417" w:lineRule="auto" w:before="0" w:after="0"/>
        <w:ind w:left="120" w:right="258" w:firstLine="559"/>
        <w:jc w:val="left"/>
        <w:rPr>
          <w:sz w:val="28"/>
        </w:rPr>
      </w:pPr>
      <w:r>
        <w:rPr>
          <w:spacing w:val="-1"/>
          <w:sz w:val="28"/>
        </w:rPr>
        <w:t>乙方指定专人负责甲方委托的相关事务，并指定专人作为</w:t>
      </w:r>
      <w:r>
        <w:rPr>
          <w:spacing w:val="-3"/>
          <w:sz w:val="28"/>
        </w:rPr>
        <w:t>甲方的联系人，签收相关文件，及时通报案件处理进展情况。 </w:t>
      </w:r>
    </w:p>
    <w:p>
      <w:pPr>
        <w:pStyle w:val="ListParagraph"/>
        <w:numPr>
          <w:ilvl w:val="0"/>
          <w:numId w:val="3"/>
        </w:numPr>
        <w:tabs>
          <w:tab w:pos="1387" w:val="left" w:leader="none"/>
        </w:tabs>
        <w:spacing w:line="358" w:lineRule="exact" w:before="0" w:after="0"/>
        <w:ind w:left="1386" w:right="0" w:hanging="708"/>
        <w:jc w:val="left"/>
        <w:rPr>
          <w:sz w:val="28"/>
        </w:rPr>
      </w:pPr>
      <w:r>
        <w:rPr>
          <w:sz w:val="28"/>
        </w:rPr>
        <w:t>乙方调查过程中因证据不足而无法拒赔的案件，如乙方无</w:t>
      </w:r>
    </w:p>
    <w:p>
      <w:pPr>
        <w:spacing w:after="0" w:line="358" w:lineRule="exact"/>
        <w:jc w:val="left"/>
        <w:rPr>
          <w:sz w:val="28"/>
        </w:rPr>
        <w:sectPr>
          <w:pgSz w:w="11910" w:h="16840"/>
          <w:pgMar w:top="1520" w:bottom="280" w:left="1680" w:right="1540"/>
        </w:sectPr>
      </w:pPr>
    </w:p>
    <w:p>
      <w:pPr>
        <w:pStyle w:val="BodyText"/>
        <w:spacing w:line="417" w:lineRule="auto" w:before="34"/>
        <w:ind w:right="256"/>
        <w:jc w:val="both"/>
      </w:pPr>
      <w:r>
        <w:rPr>
          <w:spacing w:val="-9"/>
        </w:rPr>
        <w:t>法完成协商减损或者拒赔结案，甲方可自行处理相关案件，也可要求</w:t>
      </w:r>
      <w:r>
        <w:rPr>
          <w:spacing w:val="-12"/>
        </w:rPr>
        <w:t>乙方完成后续协商工作，但乙方在代理甲方调解时，最终调解结果须</w:t>
      </w:r>
      <w:r>
        <w:rPr>
          <w:spacing w:val="-3"/>
        </w:rPr>
        <w:t>提前征得甲方书面同意。 </w:t>
      </w:r>
    </w:p>
    <w:p>
      <w:pPr>
        <w:pStyle w:val="ListParagraph"/>
        <w:numPr>
          <w:ilvl w:val="0"/>
          <w:numId w:val="3"/>
        </w:numPr>
        <w:tabs>
          <w:tab w:pos="1384" w:val="left" w:leader="none"/>
        </w:tabs>
        <w:spacing w:line="358" w:lineRule="exact" w:before="0" w:after="0"/>
        <w:ind w:left="1383" w:right="0" w:hanging="705"/>
        <w:jc w:val="left"/>
        <w:rPr>
          <w:sz w:val="28"/>
        </w:rPr>
      </w:pPr>
      <w:r>
        <w:rPr>
          <w:spacing w:val="-3"/>
          <w:sz w:val="28"/>
        </w:rPr>
        <w:t>案件调查结束后</w:t>
      </w:r>
      <w:r>
        <w:rPr>
          <w:spacing w:val="4"/>
          <w:sz w:val="28"/>
          <w:u w:val="single"/>
        </w:rPr>
        <w:t> </w:t>
      </w:r>
      <w:r>
        <w:rPr>
          <w:sz w:val="28"/>
          <w:u w:val="single"/>
        </w:rPr>
        <w:t>5</w:t>
      </w:r>
      <w:r>
        <w:rPr>
          <w:spacing w:val="-7"/>
          <w:sz w:val="28"/>
        </w:rPr>
        <w:t> 个工作日内，乙方应将甲方的原始资料</w:t>
      </w:r>
    </w:p>
    <w:p>
      <w:pPr>
        <w:pStyle w:val="BodyText"/>
        <w:spacing w:before="12"/>
        <w:ind w:left="0"/>
        <w:rPr>
          <w:sz w:val="15"/>
        </w:rPr>
      </w:pPr>
    </w:p>
    <w:p>
      <w:pPr>
        <w:pStyle w:val="BodyText"/>
        <w:spacing w:line="417" w:lineRule="auto" w:before="62"/>
        <w:ind w:left="679" w:right="444" w:hanging="560"/>
      </w:pPr>
      <w:r>
        <w:rPr>
          <w:spacing w:val="-3"/>
        </w:rPr>
        <w:t>或乙方调查取证的原始材料交回甲方，相关材料包括但不限于：  A、调查获取的相关证据材料，包括证人证言、笔录、证明。 </w:t>
      </w:r>
    </w:p>
    <w:p>
      <w:pPr>
        <w:pStyle w:val="BodyText"/>
        <w:spacing w:line="417" w:lineRule="auto"/>
        <w:ind w:left="679" w:right="115"/>
      </w:pPr>
      <w:r>
        <w:rPr/>
        <w:t>B</w:t>
      </w:r>
      <w:r>
        <w:rPr>
          <w:spacing w:val="-18"/>
        </w:rPr>
        <w:t>、被调查机构出具的法律文书、书面证明或者相关证件的原件。 C、调查结案报告：无论是拒赔案件、减损案件、调查结论为正</w:t>
      </w:r>
    </w:p>
    <w:p>
      <w:pPr>
        <w:pStyle w:val="BodyText"/>
        <w:spacing w:line="358" w:lineRule="exact"/>
      </w:pPr>
      <w:r>
        <w:rPr/>
        <w:t>常的案件、调查无果案件，均应形成正式的调查结案报告。 </w:t>
      </w:r>
    </w:p>
    <w:p>
      <w:pPr>
        <w:pStyle w:val="BodyText"/>
        <w:spacing w:before="9"/>
        <w:ind w:left="0"/>
        <w:rPr>
          <w:sz w:val="20"/>
        </w:rPr>
      </w:pPr>
    </w:p>
    <w:p>
      <w:pPr>
        <w:pStyle w:val="BodyText"/>
        <w:spacing w:line="417" w:lineRule="auto"/>
        <w:ind w:right="259" w:firstLine="559"/>
      </w:pPr>
      <w:r>
        <w:rPr/>
        <w:t>D、拒赔案件：需提供被保险人签章放弃索赔的确认书或声明以及支持拒赔的客观证据材料。 </w:t>
      </w:r>
    </w:p>
    <w:p>
      <w:pPr>
        <w:pStyle w:val="BodyText"/>
        <w:spacing w:line="417" w:lineRule="auto"/>
        <w:ind w:left="679" w:right="444"/>
      </w:pPr>
      <w:r>
        <w:rPr/>
        <w:t>E</w:t>
      </w:r>
      <w:r>
        <w:rPr>
          <w:spacing w:val="-3"/>
        </w:rPr>
        <w:t>、减损案件：乙方协调甲方被保险人与甲方签署赔偿协议。 F、差旅费及相关费用票据。 </w:t>
      </w:r>
    </w:p>
    <w:p>
      <w:pPr>
        <w:pStyle w:val="BodyText"/>
        <w:ind w:left="0"/>
        <w:rPr>
          <w:sz w:val="22"/>
        </w:rPr>
      </w:pPr>
    </w:p>
    <w:p>
      <w:pPr>
        <w:pStyle w:val="Heading1"/>
      </w:pPr>
      <w:r>
        <w:rPr/>
        <w:t>二、双方权利和义务</w:t>
      </w:r>
      <w:r>
        <w:rPr>
          <w:w w:val="99"/>
        </w:rPr>
        <w:t> </w:t>
      </w:r>
    </w:p>
    <w:p>
      <w:pPr>
        <w:pStyle w:val="BodyText"/>
        <w:spacing w:before="162"/>
        <w:ind w:left="679"/>
      </w:pPr>
      <w:r>
        <w:rPr/>
        <w:t>（一）、甲方权利义务 </w:t>
      </w:r>
    </w:p>
    <w:p>
      <w:pPr>
        <w:pStyle w:val="BodyText"/>
        <w:spacing w:line="348" w:lineRule="auto" w:before="162"/>
        <w:ind w:right="189" w:firstLine="559"/>
      </w:pPr>
      <w:r>
        <w:rPr/>
        <w:t>1、甲方委托乙方对可疑的保险理赔案件进行调查取证，并提供前期所掌握的相关信息给乙方； </w:t>
      </w:r>
    </w:p>
    <w:p>
      <w:pPr>
        <w:pStyle w:val="BodyText"/>
        <w:spacing w:line="348" w:lineRule="auto"/>
        <w:ind w:right="189" w:firstLine="559"/>
      </w:pPr>
      <w:r>
        <w:rPr/>
        <w:t>2、甲方委托乙方的案件，且乙方已经接受甲方委托的案件在合同期内，甲方不得无故干预乙方的调查工作； </w:t>
      </w:r>
    </w:p>
    <w:p>
      <w:pPr>
        <w:pStyle w:val="BodyText"/>
        <w:spacing w:line="358" w:lineRule="exact"/>
        <w:ind w:left="679"/>
      </w:pPr>
      <w:r>
        <w:rPr/>
        <w:t>3、甲方指派专人负责双方之间的联络、交接文件、通报情况； </w:t>
      </w:r>
    </w:p>
    <w:p>
      <w:pPr>
        <w:pStyle w:val="BodyText"/>
        <w:spacing w:line="348" w:lineRule="auto" w:before="161"/>
        <w:ind w:right="136" w:firstLine="559"/>
      </w:pPr>
      <w:r>
        <w:rPr/>
        <w:t>4、甲方已经委托给乙方的案件，经甲方理赔部门负责人书面</w:t>
      </w:r>
      <w:r>
        <w:rPr>
          <w:b/>
        </w:rPr>
        <w:t>/</w:t>
      </w:r>
      <w:r>
        <w:rPr/>
        <w:t>邮件同意可撤回委托； </w:t>
      </w:r>
    </w:p>
    <w:p>
      <w:pPr>
        <w:pStyle w:val="BodyText"/>
        <w:spacing w:line="357" w:lineRule="exact"/>
        <w:ind w:left="679"/>
      </w:pPr>
      <w:r>
        <w:rPr/>
        <w:t>5、甲方在乙方提交《调查报告》后，应于 3 个工作日内给予确</w:t>
      </w:r>
    </w:p>
    <w:p>
      <w:pPr>
        <w:spacing w:after="0" w:line="357" w:lineRule="exact"/>
        <w:sectPr>
          <w:pgSz w:w="11910" w:h="16840"/>
          <w:pgMar w:top="1520" w:bottom="280" w:left="1680" w:right="1540"/>
        </w:sectPr>
      </w:pPr>
    </w:p>
    <w:p>
      <w:pPr>
        <w:pStyle w:val="BodyText"/>
        <w:spacing w:line="348" w:lineRule="auto" w:before="39"/>
        <w:ind w:right="184"/>
      </w:pPr>
      <w:r>
        <w:rPr>
          <w:spacing w:val="-7"/>
        </w:rPr>
        <w:t>认，如需补充调查项目的，须于接收调查报告 </w:t>
      </w:r>
      <w:r>
        <w:rPr/>
        <w:t>3</w:t>
      </w:r>
      <w:r>
        <w:rPr>
          <w:spacing w:val="-11"/>
        </w:rPr>
        <w:t> 日内通知乙方，以减</w:t>
      </w:r>
      <w:r>
        <w:rPr>
          <w:spacing w:val="-3"/>
        </w:rPr>
        <w:t>少因时间滞后而造成调查难度增加。 </w:t>
      </w:r>
    </w:p>
    <w:p>
      <w:pPr>
        <w:pStyle w:val="BodyText"/>
        <w:spacing w:line="358" w:lineRule="exact"/>
        <w:ind w:left="679"/>
      </w:pPr>
      <w:r>
        <w:rPr/>
        <w:t>（二）、乙方权利义务 </w:t>
      </w:r>
    </w:p>
    <w:p>
      <w:pPr>
        <w:pStyle w:val="BodyText"/>
        <w:spacing w:line="348" w:lineRule="auto" w:before="162"/>
        <w:ind w:right="189" w:firstLine="559"/>
      </w:pPr>
      <w:r>
        <w:rPr/>
        <w:t>1、乙方需通过合法的手段代理甲方委托，并切实维护甲方的利益、声誉和形象； </w:t>
      </w:r>
    </w:p>
    <w:p>
      <w:pPr>
        <w:pStyle w:val="BodyText"/>
        <w:spacing w:line="348" w:lineRule="auto"/>
        <w:ind w:right="189" w:firstLine="559"/>
      </w:pPr>
      <w:r>
        <w:rPr/>
        <w:t>2、乙方指定专人负责甲方委托的上述事务，并指定专人作为甲方的联络人，签收相关文件，通报案件情况； </w:t>
      </w:r>
    </w:p>
    <w:p>
      <w:pPr>
        <w:spacing w:line="348" w:lineRule="auto" w:before="0"/>
        <w:ind w:left="120" w:right="185" w:firstLine="559"/>
        <w:jc w:val="both"/>
        <w:rPr>
          <w:sz w:val="28"/>
        </w:rPr>
      </w:pPr>
      <w:r>
        <w:rPr>
          <w:sz w:val="28"/>
        </w:rPr>
        <w:t>3</w:t>
      </w:r>
      <w:r>
        <w:rPr>
          <w:spacing w:val="-10"/>
          <w:sz w:val="28"/>
        </w:rPr>
        <w:t>、乙方接到甲方的委托后 </w:t>
      </w:r>
      <w:r>
        <w:rPr>
          <w:sz w:val="28"/>
        </w:rPr>
        <w:t>24</w:t>
      </w:r>
      <w:r>
        <w:rPr>
          <w:spacing w:val="-11"/>
          <w:sz w:val="28"/>
        </w:rPr>
        <w:t> 小时内作出回复是否接受委托，</w:t>
      </w:r>
      <w:r>
        <w:rPr>
          <w:b/>
          <w:sz w:val="28"/>
        </w:rPr>
        <w:t>并</w:t>
      </w:r>
      <w:r>
        <w:rPr>
          <w:b/>
          <w:spacing w:val="-10"/>
          <w:sz w:val="28"/>
        </w:rPr>
        <w:t>于接收委托后 </w:t>
      </w:r>
      <w:r>
        <w:rPr>
          <w:b/>
          <w:sz w:val="28"/>
        </w:rPr>
        <w:t>3、7、15</w:t>
      </w:r>
      <w:r>
        <w:rPr>
          <w:b/>
          <w:spacing w:val="-9"/>
          <w:sz w:val="28"/>
        </w:rPr>
        <w:t> 日内邮件反馈案件调查进展</w:t>
      </w:r>
      <w:r>
        <w:rPr>
          <w:sz w:val="28"/>
        </w:rPr>
        <w:t>，</w:t>
      </w:r>
      <w:r>
        <w:rPr>
          <w:b/>
          <w:sz w:val="28"/>
        </w:rPr>
        <w:t>25</w:t>
      </w:r>
      <w:r>
        <w:rPr>
          <w:b/>
          <w:spacing w:val="-15"/>
          <w:sz w:val="28"/>
        </w:rPr>
        <w:t> 天内出具书</w:t>
      </w:r>
      <w:r>
        <w:rPr>
          <w:b/>
          <w:sz w:val="28"/>
        </w:rPr>
        <w:t>面调查结论。</w:t>
      </w:r>
      <w:r>
        <w:rPr>
          <w:spacing w:val="-5"/>
          <w:sz w:val="28"/>
        </w:rPr>
        <w:t>如 </w:t>
      </w:r>
      <w:r>
        <w:rPr>
          <w:sz w:val="28"/>
        </w:rPr>
        <w:t>25</w:t>
      </w:r>
      <w:r>
        <w:rPr>
          <w:spacing w:val="-4"/>
          <w:sz w:val="28"/>
        </w:rPr>
        <w:t> 天内未有调查结论的案件需逐案向甲方上报原因</w:t>
      </w:r>
    </w:p>
    <w:p>
      <w:pPr>
        <w:pStyle w:val="BodyText"/>
        <w:spacing w:line="358" w:lineRule="exact"/>
      </w:pPr>
      <w:r>
        <w:rPr/>
        <w:t>及案件详细情况； </w:t>
      </w:r>
    </w:p>
    <w:p>
      <w:pPr>
        <w:pStyle w:val="BodyText"/>
        <w:spacing w:line="364" w:lineRule="auto" w:before="26"/>
        <w:ind w:right="258" w:firstLine="559"/>
        <w:jc w:val="both"/>
      </w:pPr>
      <w:r>
        <w:rPr/>
        <w:t>4</w:t>
      </w:r>
      <w:r>
        <w:rPr>
          <w:spacing w:val="-3"/>
        </w:rPr>
        <w:t>、乙方提交的调查结论、相关证据必须客观、真实，因乙方出</w:t>
      </w:r>
      <w:r>
        <w:rPr>
          <w:spacing w:val="-11"/>
        </w:rPr>
        <w:t>具的调查结论、相关证据违反客观性、真实性给甲方造成损失的，乙</w:t>
      </w:r>
      <w:r>
        <w:rPr>
          <w:spacing w:val="-3"/>
        </w:rPr>
        <w:t>方应向甲方依法承担赔偿责任。</w:t>
      </w:r>
      <w:r>
        <w:rPr/>
        <w:t> </w:t>
      </w:r>
    </w:p>
    <w:p>
      <w:pPr>
        <w:pStyle w:val="BodyText"/>
        <w:spacing w:line="364" w:lineRule="auto"/>
        <w:ind w:right="258" w:firstLine="559"/>
      </w:pPr>
      <w:r>
        <w:rPr>
          <w:spacing w:val="-12"/>
        </w:rPr>
        <w:t>在调查服务过程中，如发生投诉，乙方按照以下标准承担违约责</w:t>
      </w:r>
      <w:r>
        <w:rPr/>
        <w:t>任：</w:t>
      </w:r>
      <w:r>
        <w:rPr>
          <w:spacing w:val="-2"/>
        </w:rPr>
        <w:t> </w:t>
      </w:r>
      <w:r>
        <w:rPr/>
        <w:t> </w:t>
      </w:r>
    </w:p>
    <w:p>
      <w:pPr>
        <w:pStyle w:val="BodyText"/>
        <w:spacing w:line="364" w:lineRule="auto"/>
        <w:ind w:right="258" w:firstLine="559"/>
        <w:jc w:val="both"/>
      </w:pPr>
      <w:r>
        <w:rPr/>
        <w:t>A</w:t>
      </w:r>
      <w:r>
        <w:rPr>
          <w:spacing w:val="-3"/>
        </w:rPr>
        <w:t>、造成有效投诉成立</w:t>
      </w:r>
      <w:r>
        <w:rPr/>
        <w:t>（</w:t>
      </w:r>
      <w:r>
        <w:rPr>
          <w:spacing w:val="-3"/>
        </w:rPr>
        <w:t>经双方协商决定投诉标准</w:t>
      </w:r>
      <w:r>
        <w:rPr/>
        <w:t>）</w:t>
      </w:r>
      <w:r>
        <w:rPr>
          <w:spacing w:val="-2"/>
        </w:rPr>
        <w:t>，投诉至银</w:t>
      </w:r>
      <w:r>
        <w:rPr>
          <w:spacing w:val="-7"/>
        </w:rPr>
        <w:t>保监会或行业协会</w:t>
      </w:r>
      <w:r>
        <w:rPr/>
        <w:t>（</w:t>
      </w:r>
      <w:r>
        <w:rPr>
          <w:spacing w:val="-3"/>
        </w:rPr>
        <w:t>经甲方认定为有效</w:t>
      </w:r>
      <w:r>
        <w:rPr>
          <w:spacing w:val="-32"/>
        </w:rPr>
        <w:t>）</w:t>
      </w:r>
      <w:r>
        <w:rPr>
          <w:spacing w:val="-8"/>
        </w:rPr>
        <w:t>的案件：扣罚该案基础调查</w:t>
      </w:r>
      <w:r>
        <w:rPr>
          <w:spacing w:val="-3"/>
        </w:rPr>
        <w:t>费，被投诉违约金：</w:t>
      </w:r>
      <w:r>
        <w:rPr/>
        <w:t>200</w:t>
      </w:r>
      <w:r>
        <w:rPr>
          <w:spacing w:val="-36"/>
        </w:rPr>
        <w:t> 元</w:t>
      </w:r>
      <w:r>
        <w:rPr/>
        <w:t>/</w:t>
      </w:r>
      <w:r>
        <w:rPr>
          <w:spacing w:val="-3"/>
        </w:rPr>
        <w:t>次；</w:t>
      </w:r>
      <w:r>
        <w:rPr/>
        <w:t> </w:t>
      </w:r>
    </w:p>
    <w:p>
      <w:pPr>
        <w:pStyle w:val="BodyText"/>
        <w:spacing w:line="348" w:lineRule="auto" w:before="131"/>
        <w:ind w:right="189" w:firstLine="559"/>
        <w:jc w:val="both"/>
      </w:pPr>
      <w:r>
        <w:rPr/>
        <w:t>B、产生恶劣影响（经双方协商决定投诉标准）的除扣罚该案基础调查费外，增加违约金 1000 元。 </w:t>
      </w:r>
    </w:p>
    <w:p>
      <w:pPr>
        <w:pStyle w:val="BodyText"/>
        <w:spacing w:line="348" w:lineRule="auto"/>
        <w:ind w:right="191" w:firstLine="559"/>
      </w:pPr>
      <w:r>
        <w:rPr/>
        <w:t>5、乙方应每月一次向甲方报送已委托案件调查进展情况，并抄送甲方上一级公司备案； </w:t>
      </w:r>
    </w:p>
    <w:p>
      <w:pPr>
        <w:pStyle w:val="BodyText"/>
        <w:spacing w:line="348" w:lineRule="auto"/>
        <w:ind w:right="186" w:firstLine="559"/>
        <w:jc w:val="both"/>
      </w:pPr>
      <w:r>
        <w:rPr/>
        <w:t>6、乙方有义务为甲方保守秘密，不得向第三方泄露甲方提供的</w:t>
      </w:r>
      <w:r>
        <w:rPr>
          <w:spacing w:val="-6"/>
        </w:rPr>
        <w:t>资料、不得利用甲方提供的资料从事与本协议约定服务内容无关的活</w:t>
      </w:r>
      <w:r>
        <w:rPr>
          <w:spacing w:val="-3"/>
        </w:rPr>
        <w:t>动，包括但不限于商业活动、转让给第三方。 </w:t>
      </w:r>
    </w:p>
    <w:sectPr>
      <w:pgSz w:w="11910" w:h="16840"/>
      <w:pgMar w:top="1520" w:bottom="280" w:left="16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0" w:hanging="707"/>
        <w:jc w:val="left"/>
      </w:pPr>
      <w:rPr>
        <w:rFonts w:hint="default" w:ascii="宋体" w:hAnsi="宋体" w:eastAsia="宋体" w:cs="宋体"/>
        <w:w w:val="100"/>
        <w:sz w:val="26"/>
        <w:szCs w:val="26"/>
        <w:lang w:val="zh-CN" w:eastAsia="zh-CN" w:bidi="zh-CN"/>
      </w:rPr>
    </w:lvl>
    <w:lvl w:ilvl="1">
      <w:start w:val="0"/>
      <w:numFmt w:val="bullet"/>
      <w:lvlText w:val="•"/>
      <w:lvlJc w:val="left"/>
      <w:pPr>
        <w:ind w:left="976" w:hanging="707"/>
      </w:pPr>
      <w:rPr>
        <w:rFonts w:hint="default"/>
        <w:lang w:val="zh-CN" w:eastAsia="zh-CN" w:bidi="zh-CN"/>
      </w:rPr>
    </w:lvl>
    <w:lvl w:ilvl="2">
      <w:start w:val="0"/>
      <w:numFmt w:val="bullet"/>
      <w:lvlText w:val="•"/>
      <w:lvlJc w:val="left"/>
      <w:pPr>
        <w:ind w:left="1833" w:hanging="707"/>
      </w:pPr>
      <w:rPr>
        <w:rFonts w:hint="default"/>
        <w:lang w:val="zh-CN" w:eastAsia="zh-CN" w:bidi="zh-CN"/>
      </w:rPr>
    </w:lvl>
    <w:lvl w:ilvl="3">
      <w:start w:val="0"/>
      <w:numFmt w:val="bullet"/>
      <w:lvlText w:val="•"/>
      <w:lvlJc w:val="left"/>
      <w:pPr>
        <w:ind w:left="2689" w:hanging="707"/>
      </w:pPr>
      <w:rPr>
        <w:rFonts w:hint="default"/>
        <w:lang w:val="zh-CN" w:eastAsia="zh-CN" w:bidi="zh-CN"/>
      </w:rPr>
    </w:lvl>
    <w:lvl w:ilvl="4">
      <w:start w:val="0"/>
      <w:numFmt w:val="bullet"/>
      <w:lvlText w:val="•"/>
      <w:lvlJc w:val="left"/>
      <w:pPr>
        <w:ind w:left="3546" w:hanging="707"/>
      </w:pPr>
      <w:rPr>
        <w:rFonts w:hint="default"/>
        <w:lang w:val="zh-CN" w:eastAsia="zh-CN" w:bidi="zh-CN"/>
      </w:rPr>
    </w:lvl>
    <w:lvl w:ilvl="5">
      <w:start w:val="0"/>
      <w:numFmt w:val="bullet"/>
      <w:lvlText w:val="•"/>
      <w:lvlJc w:val="left"/>
      <w:pPr>
        <w:ind w:left="4403" w:hanging="707"/>
      </w:pPr>
      <w:rPr>
        <w:rFonts w:hint="default"/>
        <w:lang w:val="zh-CN" w:eastAsia="zh-CN" w:bidi="zh-CN"/>
      </w:rPr>
    </w:lvl>
    <w:lvl w:ilvl="6">
      <w:start w:val="0"/>
      <w:numFmt w:val="bullet"/>
      <w:lvlText w:val="•"/>
      <w:lvlJc w:val="left"/>
      <w:pPr>
        <w:ind w:left="5259" w:hanging="707"/>
      </w:pPr>
      <w:rPr>
        <w:rFonts w:hint="default"/>
        <w:lang w:val="zh-CN" w:eastAsia="zh-CN" w:bidi="zh-CN"/>
      </w:rPr>
    </w:lvl>
    <w:lvl w:ilvl="7">
      <w:start w:val="0"/>
      <w:numFmt w:val="bullet"/>
      <w:lvlText w:val="•"/>
      <w:lvlJc w:val="left"/>
      <w:pPr>
        <w:ind w:left="6116" w:hanging="707"/>
      </w:pPr>
      <w:rPr>
        <w:rFonts w:hint="default"/>
        <w:lang w:val="zh-CN" w:eastAsia="zh-CN" w:bidi="zh-CN"/>
      </w:rPr>
    </w:lvl>
    <w:lvl w:ilvl="8">
      <w:start w:val="0"/>
      <w:numFmt w:val="bullet"/>
      <w:lvlText w:val="•"/>
      <w:lvlJc w:val="left"/>
      <w:pPr>
        <w:ind w:left="6973" w:hanging="707"/>
      </w:pPr>
      <w:rPr>
        <w:rFonts w:hint="default"/>
        <w:lang w:val="zh-CN" w:eastAsia="zh-CN" w:bidi="zh-CN"/>
      </w:rPr>
    </w:lvl>
  </w:abstractNum>
  <w:abstractNum w:abstractNumId="1">
    <w:multiLevelType w:val="hybridMultilevel"/>
    <w:lvl w:ilvl="0">
      <w:start w:val="1"/>
      <w:numFmt w:val="decimal"/>
      <w:lvlText w:val="（%1）"/>
      <w:lvlJc w:val="left"/>
      <w:pPr>
        <w:ind w:left="1391" w:hanging="705"/>
        <w:jc w:val="left"/>
      </w:pPr>
      <w:rPr>
        <w:rFonts w:hint="default" w:ascii="宋体" w:hAnsi="宋体" w:eastAsia="宋体" w:cs="宋体"/>
        <w:spacing w:val="-3"/>
        <w:w w:val="100"/>
        <w:sz w:val="26"/>
        <w:szCs w:val="26"/>
        <w:lang w:val="zh-CN" w:eastAsia="zh-CN" w:bidi="zh-CN"/>
      </w:rPr>
    </w:lvl>
    <w:lvl w:ilvl="1">
      <w:start w:val="0"/>
      <w:numFmt w:val="bullet"/>
      <w:lvlText w:val="•"/>
      <w:lvlJc w:val="left"/>
      <w:pPr>
        <w:ind w:left="2128" w:hanging="705"/>
      </w:pPr>
      <w:rPr>
        <w:rFonts w:hint="default"/>
        <w:lang w:val="zh-CN" w:eastAsia="zh-CN" w:bidi="zh-CN"/>
      </w:rPr>
    </w:lvl>
    <w:lvl w:ilvl="2">
      <w:start w:val="0"/>
      <w:numFmt w:val="bullet"/>
      <w:lvlText w:val="•"/>
      <w:lvlJc w:val="left"/>
      <w:pPr>
        <w:ind w:left="2857" w:hanging="705"/>
      </w:pPr>
      <w:rPr>
        <w:rFonts w:hint="default"/>
        <w:lang w:val="zh-CN" w:eastAsia="zh-CN" w:bidi="zh-CN"/>
      </w:rPr>
    </w:lvl>
    <w:lvl w:ilvl="3">
      <w:start w:val="0"/>
      <w:numFmt w:val="bullet"/>
      <w:lvlText w:val="•"/>
      <w:lvlJc w:val="left"/>
      <w:pPr>
        <w:ind w:left="3585" w:hanging="705"/>
      </w:pPr>
      <w:rPr>
        <w:rFonts w:hint="default"/>
        <w:lang w:val="zh-CN" w:eastAsia="zh-CN" w:bidi="zh-CN"/>
      </w:rPr>
    </w:lvl>
    <w:lvl w:ilvl="4">
      <w:start w:val="0"/>
      <w:numFmt w:val="bullet"/>
      <w:lvlText w:val="•"/>
      <w:lvlJc w:val="left"/>
      <w:pPr>
        <w:ind w:left="4314" w:hanging="705"/>
      </w:pPr>
      <w:rPr>
        <w:rFonts w:hint="default"/>
        <w:lang w:val="zh-CN" w:eastAsia="zh-CN" w:bidi="zh-CN"/>
      </w:rPr>
    </w:lvl>
    <w:lvl w:ilvl="5">
      <w:start w:val="0"/>
      <w:numFmt w:val="bullet"/>
      <w:lvlText w:val="•"/>
      <w:lvlJc w:val="left"/>
      <w:pPr>
        <w:ind w:left="5043" w:hanging="705"/>
      </w:pPr>
      <w:rPr>
        <w:rFonts w:hint="default"/>
        <w:lang w:val="zh-CN" w:eastAsia="zh-CN" w:bidi="zh-CN"/>
      </w:rPr>
    </w:lvl>
    <w:lvl w:ilvl="6">
      <w:start w:val="0"/>
      <w:numFmt w:val="bullet"/>
      <w:lvlText w:val="•"/>
      <w:lvlJc w:val="left"/>
      <w:pPr>
        <w:ind w:left="5771" w:hanging="705"/>
      </w:pPr>
      <w:rPr>
        <w:rFonts w:hint="default"/>
        <w:lang w:val="zh-CN" w:eastAsia="zh-CN" w:bidi="zh-CN"/>
      </w:rPr>
    </w:lvl>
    <w:lvl w:ilvl="7">
      <w:start w:val="0"/>
      <w:numFmt w:val="bullet"/>
      <w:lvlText w:val="•"/>
      <w:lvlJc w:val="left"/>
      <w:pPr>
        <w:ind w:left="6500" w:hanging="705"/>
      </w:pPr>
      <w:rPr>
        <w:rFonts w:hint="default"/>
        <w:lang w:val="zh-CN" w:eastAsia="zh-CN" w:bidi="zh-CN"/>
      </w:rPr>
    </w:lvl>
    <w:lvl w:ilvl="8">
      <w:start w:val="0"/>
      <w:numFmt w:val="bullet"/>
      <w:lvlText w:val="•"/>
      <w:lvlJc w:val="left"/>
      <w:pPr>
        <w:ind w:left="7229" w:hanging="705"/>
      </w:pPr>
      <w:rPr>
        <w:rFonts w:hint="default"/>
        <w:lang w:val="zh-CN" w:eastAsia="zh-CN" w:bidi="zh-CN"/>
      </w:rPr>
    </w:lvl>
  </w:abstractNum>
  <w:abstractNum w:abstractNumId="0">
    <w:multiLevelType w:val="hybridMultilevel"/>
    <w:lvl w:ilvl="0">
      <w:start w:val="1"/>
      <w:numFmt w:val="decimal"/>
      <w:lvlText w:val="%1."/>
      <w:lvlJc w:val="left"/>
      <w:pPr>
        <w:ind w:left="962" w:hanging="283"/>
        <w:jc w:val="right"/>
      </w:pPr>
      <w:rPr>
        <w:rFonts w:hint="default" w:ascii="宋体" w:hAnsi="宋体" w:eastAsia="宋体" w:cs="宋体"/>
        <w:spacing w:val="-2"/>
        <w:w w:val="100"/>
        <w:sz w:val="26"/>
        <w:szCs w:val="26"/>
        <w:lang w:val="zh-CN" w:eastAsia="zh-CN" w:bidi="zh-CN"/>
      </w:rPr>
    </w:lvl>
    <w:lvl w:ilvl="1">
      <w:start w:val="0"/>
      <w:numFmt w:val="bullet"/>
      <w:lvlText w:val="•"/>
      <w:lvlJc w:val="left"/>
      <w:pPr>
        <w:ind w:left="1732" w:hanging="283"/>
      </w:pPr>
      <w:rPr>
        <w:rFonts w:hint="default"/>
        <w:lang w:val="zh-CN" w:eastAsia="zh-CN" w:bidi="zh-CN"/>
      </w:rPr>
    </w:lvl>
    <w:lvl w:ilvl="2">
      <w:start w:val="0"/>
      <w:numFmt w:val="bullet"/>
      <w:lvlText w:val="•"/>
      <w:lvlJc w:val="left"/>
      <w:pPr>
        <w:ind w:left="2505" w:hanging="283"/>
      </w:pPr>
      <w:rPr>
        <w:rFonts w:hint="default"/>
        <w:lang w:val="zh-CN" w:eastAsia="zh-CN" w:bidi="zh-CN"/>
      </w:rPr>
    </w:lvl>
    <w:lvl w:ilvl="3">
      <w:start w:val="0"/>
      <w:numFmt w:val="bullet"/>
      <w:lvlText w:val="•"/>
      <w:lvlJc w:val="left"/>
      <w:pPr>
        <w:ind w:left="3277" w:hanging="283"/>
      </w:pPr>
      <w:rPr>
        <w:rFonts w:hint="default"/>
        <w:lang w:val="zh-CN" w:eastAsia="zh-CN" w:bidi="zh-CN"/>
      </w:rPr>
    </w:lvl>
    <w:lvl w:ilvl="4">
      <w:start w:val="0"/>
      <w:numFmt w:val="bullet"/>
      <w:lvlText w:val="•"/>
      <w:lvlJc w:val="left"/>
      <w:pPr>
        <w:ind w:left="4050" w:hanging="283"/>
      </w:pPr>
      <w:rPr>
        <w:rFonts w:hint="default"/>
        <w:lang w:val="zh-CN" w:eastAsia="zh-CN" w:bidi="zh-CN"/>
      </w:rPr>
    </w:lvl>
    <w:lvl w:ilvl="5">
      <w:start w:val="0"/>
      <w:numFmt w:val="bullet"/>
      <w:lvlText w:val="•"/>
      <w:lvlJc w:val="left"/>
      <w:pPr>
        <w:ind w:left="4823" w:hanging="283"/>
      </w:pPr>
      <w:rPr>
        <w:rFonts w:hint="default"/>
        <w:lang w:val="zh-CN" w:eastAsia="zh-CN" w:bidi="zh-CN"/>
      </w:rPr>
    </w:lvl>
    <w:lvl w:ilvl="6">
      <w:start w:val="0"/>
      <w:numFmt w:val="bullet"/>
      <w:lvlText w:val="•"/>
      <w:lvlJc w:val="left"/>
      <w:pPr>
        <w:ind w:left="5595" w:hanging="283"/>
      </w:pPr>
      <w:rPr>
        <w:rFonts w:hint="default"/>
        <w:lang w:val="zh-CN" w:eastAsia="zh-CN" w:bidi="zh-CN"/>
      </w:rPr>
    </w:lvl>
    <w:lvl w:ilvl="7">
      <w:start w:val="0"/>
      <w:numFmt w:val="bullet"/>
      <w:lvlText w:val="•"/>
      <w:lvlJc w:val="left"/>
      <w:pPr>
        <w:ind w:left="6368" w:hanging="283"/>
      </w:pPr>
      <w:rPr>
        <w:rFonts w:hint="default"/>
        <w:lang w:val="zh-CN" w:eastAsia="zh-CN" w:bidi="zh-CN"/>
      </w:rPr>
    </w:lvl>
    <w:lvl w:ilvl="8">
      <w:start w:val="0"/>
      <w:numFmt w:val="bullet"/>
      <w:lvlText w:val="•"/>
      <w:lvlJc w:val="left"/>
      <w:pPr>
        <w:ind w:left="7141" w:hanging="283"/>
      </w:pPr>
      <w:rPr>
        <w:rFonts w:hint="default"/>
        <w:lang w:val="zh-CN" w:eastAsia="zh-CN" w:bidi="zh-CN"/>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120"/>
    </w:pPr>
    <w:rPr>
      <w:rFonts w:ascii="宋体" w:hAnsi="宋体" w:eastAsia="宋体" w:cs="宋体"/>
      <w:sz w:val="28"/>
      <w:szCs w:val="28"/>
      <w:lang w:val="zh-CN" w:eastAsia="zh-CN" w:bidi="zh-CN"/>
    </w:rPr>
  </w:style>
  <w:style w:styleId="Heading1" w:type="paragraph">
    <w:name w:val="Heading 1"/>
    <w:basedOn w:val="Normal"/>
    <w:uiPriority w:val="1"/>
    <w:qFormat/>
    <w:pPr>
      <w:spacing w:before="1"/>
      <w:ind w:left="681"/>
      <w:outlineLvl w:val="1"/>
    </w:pPr>
    <w:rPr>
      <w:rFonts w:ascii="宋体" w:hAnsi="宋体" w:eastAsia="宋体" w:cs="宋体"/>
      <w:b/>
      <w:bCs/>
      <w:sz w:val="28"/>
      <w:szCs w:val="28"/>
      <w:lang w:val="zh-CN" w:eastAsia="zh-CN" w:bidi="zh-CN"/>
    </w:rPr>
  </w:style>
  <w:style w:styleId="ListParagraph" w:type="paragraph">
    <w:name w:val="List Paragraph"/>
    <w:basedOn w:val="Normal"/>
    <w:uiPriority w:val="1"/>
    <w:qFormat/>
    <w:pPr>
      <w:ind w:left="120" w:firstLine="566"/>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2022-06-07T11:09:07Z</dcterms:created>
  <dcterms:modified xsi:type="dcterms:W3CDTF">2022-06-07T11:09:07Z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2022-06-02T00:00:00Z</vt:filetime>
  </property>
  <property fmtid="{D5CDD505-2E9C-101B-9397-08002B2CF9AE}" pid="3" name="Creator">
    <vt:lpwstr>Microsoft® Word 2019</vt:lpwstr>
  </property>
  <property fmtid="{D5CDD505-2E9C-101B-9397-08002B2CF9AE}" pid="4" name="LastSaved">
    <vt:filetime>2022-06-07T00:00:00Z</vt:filetime>
  </property>
</Properties>
</file>