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pic="http://schemas.openxmlformats.org/drawingml/2006/picture" xmlns:a="http://schemas.openxmlformats.org/drawingml/2006/main">
  <w:body>
    <w:p>
      <w:pPr>
        <w:pStyle w:val="000008"/>
      </w:pPr>
      <w:r>
        <w:t>Compartment-aware transcriptomic convergence identifies a mesenchymal RNA splicing programme shared by osteoarthritis cartilage and osteoporosis bone marrow stroma: a multi-null in silico dissection</w:t>
      </w:r>
      <w:r>
        <w:t xml:space="preserve"> </w:t>
      </w:r>
    </w:p>
    <w:p>
      <w:pPr>
        <w:pStyle w:val="000004"/>
      </w:pPr>
      <w:r>
        <w:t>Transcriptomic sharing follows tissue lineage, not disease label</w:t>
      </w:r>
    </w:p>
    <w:p>
      <w:pPr>
        <w:pBdr>
          <w:top w:val="none" w:color="000000" w:sz="0" w:space="0"/>
          <w:left w:val="none" w:color="000000" w:sz="0" w:space="0"/>
          <w:bottom w:val="none" w:color="000000" w:sz="0" w:space="0"/>
          <w:right w:val="none" w:color="000000" w:sz="0" w:space="0"/>
        </w:pBdr>
        <w:spacing w:before="0" w:after="0" w:line="240"/>
        <w:ind w:left="0" w:right="0" w:firstLine="0" w:firstLineChars="0"/>
        <w:jc w:val="left"/>
      </w:pPr>
      <w:r>
        <w:rPr>
          <w:rFonts w:ascii="Calibri" w:hAnsi="Calibri" w:eastAsia="Calibri" w:cs="Calibri"/>
          <w:b w:val="1"/>
          <w:i w:val="0"/>
          <w:strike w:val="0"/>
          <w:color w:val="000000"/>
          <w:sz w:val="18"/>
          <w:szCs w:val="18"/>
          <w:u w:val="none"/>
        </w:rPr>
        <w:t>Wei Yuwei</w:t>
      </w:r>
      <w:r>
        <w:rPr>
          <w:rFonts w:ascii="Calibri" w:hAnsi="Calibri" w:eastAsia="Calibri" w:cs="Calibri"/>
          <w:b w:val="1"/>
          <w:i w:val="0"/>
          <w:strike w:val="0"/>
          <w:color w:val="000000"/>
          <w:sz w:val="18"/>
          <w:szCs w:val="18"/>
          <w:u w:val="none"/>
          <w:vertAlign w:val="superscript"/>
        </w:rPr>
        <w:t>1</w:t>
      </w:r>
      <w:r>
        <w:rPr>
          <w:rFonts w:ascii="Calibri" w:hAnsi="Calibri" w:eastAsia="Calibri" w:cs="Calibri"/>
          <w:b w:val="1"/>
          <w:i w:val="0"/>
          <w:strike w:val="0"/>
          <w:color w:val="000000"/>
          <w:sz w:val="18"/>
          <w:szCs w:val="18"/>
          <w:u w:val="none"/>
        </w:rPr>
        <w:t>, Li Peng</w:t>
      </w:r>
      <w:r>
        <w:rPr>
          <w:rFonts w:ascii="Calibri" w:hAnsi="Calibri" w:eastAsia="Calibri" w:cs="Calibri"/>
          <w:b w:val="1"/>
          <w:i w:val="0"/>
          <w:strike w:val="0"/>
          <w:color w:val="000000"/>
          <w:sz w:val="18"/>
          <w:szCs w:val="18"/>
          <w:u w:val="none"/>
          <w:vertAlign w:val="superscript"/>
        </w:rPr>
        <w:t>1</w:t>
      </w:r>
      <w:r>
        <w:rPr>
          <w:rFonts w:ascii="Calibri" w:hAnsi="Calibri" w:eastAsia="Calibri" w:cs="Calibri"/>
          <w:b w:val="1"/>
          <w:i w:val="0"/>
          <w:strike w:val="0"/>
          <w:color w:val="000000"/>
          <w:sz w:val="18"/>
          <w:szCs w:val="18"/>
          <w:u w:val="none"/>
        </w:rPr>
        <w:t>, Chen Kai</w:t>
      </w:r>
      <w:r>
        <w:rPr>
          <w:rFonts w:ascii="Calibri" w:hAnsi="Calibri" w:eastAsia="Calibri" w:cs="Calibri"/>
          <w:b w:val="1"/>
          <w:i w:val="0"/>
          <w:strike w:val="0"/>
          <w:color w:val="000000"/>
          <w:sz w:val="18"/>
          <w:szCs w:val="18"/>
          <w:u w:val="none"/>
          <w:vertAlign w:val="superscript"/>
        </w:rPr>
        <w:t>1</w:t>
      </w:r>
      <w:r>
        <w:rPr>
          <w:rFonts w:ascii="Calibri" w:hAnsi="Calibri" w:eastAsia="Calibri" w:cs="Calibri"/>
          <w:b w:val="1"/>
          <w:i w:val="0"/>
          <w:strike w:val="0"/>
          <w:color w:val="000000"/>
          <w:sz w:val="18"/>
          <w:szCs w:val="18"/>
          <w:u w:val="none"/>
        </w:rPr>
        <w:t>, Zhang Dong</w:t>
      </w:r>
      <w:r>
        <w:rPr>
          <w:rFonts w:ascii="Calibri" w:hAnsi="Calibri" w:eastAsia="Calibri" w:cs="Calibri"/>
          <w:b w:val="1"/>
          <w:i w:val="0"/>
          <w:strike w:val="0"/>
          <w:color w:val="000000"/>
          <w:sz w:val="18"/>
          <w:szCs w:val="18"/>
          <w:u w:val="none"/>
          <w:vertAlign w:val="superscript"/>
        </w:rPr>
        <w:t>2*</w:t>
      </w:r>
    </w:p>
    <w:p>
      <w:pPr>
        <w:pBdr>
          <w:top w:val="none" w:color="000000" w:sz="0" w:space="0"/>
          <w:left w:val="none" w:color="000000" w:sz="0" w:space="0"/>
          <w:bottom w:val="none" w:color="000000" w:sz="0" w:space="0"/>
          <w:right w:val="none" w:color="000000" w:sz="0" w:space="0"/>
        </w:pBdr>
        <w:spacing w:before="0" w:after="0" w:line="240"/>
        <w:ind w:left="0" w:right="0" w:firstLine="0" w:firstLineChars="0"/>
        <w:jc w:val="left"/>
      </w:pPr>
      <w:r>
        <w:rPr>
          <w:rFonts w:ascii="Calibri" w:hAnsi="Calibri" w:eastAsia="Calibri" w:cs="Calibri"/>
          <w:b w:val="0"/>
          <w:i w:val="0"/>
          <w:strike w:val="0"/>
          <w:color w:val="000000"/>
          <w:sz w:val="18"/>
          <w:szCs w:val="18"/>
          <w:u w:val="none"/>
          <w:vertAlign w:val="superscript"/>
        </w:rPr>
        <w:t>1</w:t>
      </w:r>
      <w:r>
        <w:rPr>
          <w:rFonts w:ascii="Calibri" w:hAnsi="Calibri" w:eastAsia="Calibri" w:cs="Calibri"/>
          <w:b w:val="0"/>
          <w:i w:val="0"/>
          <w:strike w:val="0"/>
          <w:color w:val="000000"/>
          <w:sz w:val="18"/>
          <w:szCs w:val="18"/>
          <w:u w:val="none"/>
        </w:rPr>
        <w:t xml:space="preserve"> Department of Orthopedics and Traumatology, Sui Xi Hospital of Traditional Chinese Medicine, No. 1 Baiyang Road, Economic Development Zone, Suixi County, Huaibei City, Anhui Province, 235000, P. R. China</w:t>
      </w:r>
    </w:p>
    <w:p>
      <w:pPr>
        <w:pBdr>
          <w:top w:val="none" w:color="000000" w:sz="0" w:space="0"/>
          <w:left w:val="none" w:color="000000" w:sz="0" w:space="0"/>
          <w:bottom w:val="none" w:color="000000" w:sz="0" w:space="0"/>
          <w:right w:val="none" w:color="000000" w:sz="0" w:space="0"/>
        </w:pBdr>
        <w:spacing w:before="0" w:after="0" w:line="240"/>
        <w:ind w:left="0" w:right="0" w:firstLine="0" w:firstLineChars="0"/>
        <w:jc w:val="left"/>
      </w:pPr>
      <w:r>
        <w:rPr>
          <w:rFonts w:ascii="Calibri" w:hAnsi="Calibri" w:eastAsia="Calibri" w:cs="Calibri"/>
          <w:b w:val="0"/>
          <w:i w:val="0"/>
          <w:strike w:val="0"/>
          <w:color w:val="000000"/>
          <w:sz w:val="18"/>
          <w:szCs w:val="18"/>
          <w:u w:val="none"/>
          <w:vertAlign w:val="superscript"/>
        </w:rPr>
        <w:t>2</w:t>
      </w:r>
      <w:r>
        <w:rPr>
          <w:rFonts w:ascii="Calibri" w:hAnsi="Calibri" w:eastAsia="Calibri" w:cs="Calibri"/>
          <w:b w:val="0"/>
          <w:i w:val="0"/>
          <w:strike w:val="0"/>
          <w:color w:val="000000"/>
          <w:sz w:val="18"/>
          <w:szCs w:val="18"/>
          <w:u w:val="none"/>
        </w:rPr>
        <w:t xml:space="preserve"> Orthopedic Center, Chongqing Hospital of Jiangsu Province Hospital, No. 54 Tuowan Branch Road, Gunan Street, Qijiang District, Chongqing 401420, China</w:t>
      </w:r>
    </w:p>
    <w:p>
      <w:pPr>
        <w:pBdr>
          <w:top w:val="none" w:color="000000" w:sz="0" w:space="0"/>
          <w:left w:val="none" w:color="000000" w:sz="0" w:space="0"/>
          <w:bottom w:val="none" w:color="000000" w:sz="0" w:space="0"/>
          <w:right w:val="none" w:color="000000" w:sz="0" w:space="0"/>
        </w:pBdr>
        <w:spacing w:before="0" w:after="0" w:line="240"/>
        <w:ind w:left="0" w:right="0" w:firstLine="0" w:firstLineChars="0"/>
        <w:jc w:val="left"/>
      </w:pPr>
      <w:r>
        <w:rPr>
          <w:rFonts w:ascii="Calibri" w:hAnsi="Calibri" w:eastAsia="Calibri" w:cs="Calibri"/>
          <w:b w:val="0"/>
          <w:i w:val="0"/>
          <w:strike w:val="0"/>
          <w:color w:val="000000"/>
          <w:sz w:val="18"/>
          <w:szCs w:val="18"/>
          <w:u w:val="none"/>
        </w:rPr>
        <w:t>* Corresponding author: Zhang Dong, MD, Chief Physician. Email: zhangdht@126.com. ORCID: 0009-0006-9000-273X</w:t>
      </w:r>
    </w:p>
    <w:p>
      <w:pPr>
        <w:pStyle w:val="000008"/>
      </w:pPr>
      <w:r>
        <w:t>Abstract</w:t>
      </w:r>
    </w:p>
    <w:p>
      <w:pPr>
        <w:pStyle w:val="000003"/>
      </w:pPr>
      <w:r>
        <w:t>Background. Osteoarthritis (OA) and osteoporosis (OP) are frequently analysed as opposing diseases of cartilage and bone. Most transcriptomic comparisons pool heterogeneous tissues under a single disease label, potentially obscuring lineage-level molecular programmes. Here, we present a compartment-resolved meta-analytical framework that integrates three complementary null models—pathway-label permutation conditional on marginal significance, within-cohort case–control permutation, and gene-set family clustering—to test whether OA–OP convergence follows tissue lineage rather than disease classification.</w:t>
      </w:r>
    </w:p>
    <w:p>
      <w:pPr>
        <w:pStyle w:val="000003"/>
      </w:pPr>
      <w:r>
        <w:t>Results. Across seven publicly available cohorts (303 samples), OA and OP shared no genes at genome scale (meta z-score correlation = −0.020) and no co-expression modules (maximum Jaccard = 0.032; FDR &gt; 0.99). Pooling all OP tissues yielded no pathway convergence (enrichment = 0.62, permutation P = 0.93). Splitting OP by developmental compartment revealed a robust mesenchymal signature: OA cartilage and OP bone-marrow mesenchymal stem cells (BM-MSCs) converged significantly at the pathway family level (66 observed vs. 55.1 expected; permutation P = 0.004), whereas OA cartilage and OP monocytes diverged below the null expectation (enrichment = 0.44, P = 0.997). RNA splicing and mRNA metabolism drove this mesenchymal convergence, with 49 core splicing factors—including SF3B1, PRPF8 and CDC5L—concordantly down-regulated. A recent multi-omics study nominated SON as the causal hub linking OA and OP and advanced it into drug screening. Our analysis reframes this interpretation: removing SON from the splicing gene set left pathway correlations essentially unchanged (e.g. 0.590 → 0.577), benchmarking against size-matched random gene sets showed SON exceeded background in only four of seven cohorts, and the coordinated splicing programme was absent in monocytes. SON therefore behaves as a reporter of a distributed mesenchymal module rather than its upstream controller.</w:t>
      </w:r>
    </w:p>
    <w:p>
      <w:pPr>
        <w:pStyle w:val="000003"/>
      </w:pPr>
      <w:r>
        <w:t>Conclusions. Transcriptomic convergence between OA and OP is compartment-specific, not disease-specific. Our findings caution against single-node hub reasoning and pooling tissues by diagnosis, and provide a reproducible computational workflow for lineage-resolved meta-analysis of public transcriptomic data.</w:t>
      </w:r>
    </w:p>
    <w:p>
      <w:pPr>
        <w:pStyle w:val="000003"/>
      </w:pPr>
      <w:r>
        <w:t>Keywords: osteoarthritis; osteoporosis; RNA splicing; tissue compartment; transcriptomic meta-analysis; gene-set permutation; mesenchymal stem cells</w:t>
      </w:r>
    </w:p>
    <w:p>
      <w:pPr>
        <w:pStyle w:val="000008"/>
      </w:pPr>
      <w:r>
        <w:t>Introduction</w:t>
      </w:r>
    </w:p>
    <w:p>
      <w:pPr>
        <w:pStyle w:val="000003"/>
      </w:pPr>
      <w:r>
        <w:t>Osteoarthritis (OA) and osteoporosis (OP) are the two most common age-related musculoskeletal disorders and together account for a large share of chronic disability and health-care expenditure [1].</w:t>
      </w:r>
    </w:p>
    <w:p>
      <w:pPr>
        <w:pStyle w:val="000003"/>
      </w:pPr>
      <w:r>
        <w:t>Clinically the two have long been considered inversely related: high bone mineral density (BMD) is associated with an increased risk of knee and hip OA, whereas low BMD predicts fracture but appears protective against OA [2]. This bone-cartilage paradox has recently been traced to subchondral bone compliance and Wnt-axis signalling [3].</w:t>
      </w:r>
    </w:p>
    <w:p>
      <w:pPr>
        <w:pStyle w:val="000003"/>
      </w:pPr>
      <w:r>
        <w:t>Mendelian randomisation studies support a causal component to this inverse relationship, indicating that genetic liability to higher BMD increases OA risk [4,5].</w:t>
      </w:r>
    </w:p>
    <w:p>
      <w:pPr>
        <w:pStyle w:val="000003"/>
      </w:pPr>
      <w:r>
        <w:t>What connects cartilage degradation to bone-marrow failure at the transcriptomic level remains unclear. Several integrative studies have searched for a shared molecular hub, and each has returned a different answer. An analysis of mesenchymal stem cells from both diseases proposed ten hub genes centred on matrix and differentiation biology, among them COL9A3, MMP3 and PTH1R [6]. A multimodal study intersecting OA and OP differential expression implicated ferroptosis regulators such as TXNIP and SLC2A3 [7]. A recent multi-omics effort combining co-expression networks, Mendelian randomisation and single-cell data nominated the nuclear speckle scaffold SON as the key protein linking the two diseases, and carried it forward into drug screening [8].</w:t>
      </w:r>
    </w:p>
    <w:p>
      <w:pPr>
        <w:pStyle w:val="000003"/>
      </w:pPr>
      <w:r>
        <w:t>These candidate hubs do not overlap with one another. Such divergence is usually attributed to differences in cohort or platform, but there is a simpler possibility that has not been tested directly: the studies sample different tissues.</w:t>
      </w:r>
    </w:p>
    <w:p>
      <w:pPr>
        <w:pStyle w:val="000003"/>
      </w:pPr>
      <w:r>
        <w:t>A recurring obstacle is tissue heterogeneity. OA studies almost always profile articular chondrocytes, whereas OP studies have used circulating monocytes, bone-marrow mesenchymal stem cells (BM-MSCs), osteoblasts or whole bone biopsies [9].</w:t>
      </w:r>
    </w:p>
    <w:p>
      <w:pPr>
        <w:pStyle w:val="000003"/>
      </w:pPr>
      <w:r>
        <w:t>These cell types belong to different developmental compartments. Chondrocytes and BM-MSCs derive from mesenchyme; monocytes and osteoclast precursors belong to the haematopoietic lineage [10].</w:t>
      </w:r>
    </w:p>
    <w:p>
      <w:pPr>
        <w:pStyle w:val="000003"/>
      </w:pPr>
      <w:r>
        <w:t>Pooling them under one disease label assumes that the disease, not the tissue, determines the transcriptomic programme. If the opposite is true, averaging opposing tissue effects will mask genuine biology rather than reveal it.</w:t>
      </w:r>
    </w:p>
    <w:p>
      <w:pPr>
        <w:pStyle w:val="000003"/>
      </w:pPr>
      <w:r>
        <w:t>RNA splicing is a plausible candidate for a lineage-level shared programme. Splicing-factor expression declines with replicative and stress-induced senescence, and restoring it can partially reverse senescent phenotypes [11,12].</w:t>
      </w:r>
    </w:p>
    <w:p>
      <w:pPr>
        <w:pStyle w:val="000003"/>
      </w:pPr>
      <w:r>
        <w:t>In bone, commitment of BM-MSCs to the osteogenic rather than adipogenic fate depends on precise alternative splicing of lineage transcripts [13].</w:t>
      </w:r>
    </w:p>
    <w:p>
      <w:pPr>
        <w:pStyle w:val="000003"/>
      </w:pPr>
      <w:r>
        <w:t>We therefore hypothesised that OA cartilage and OP BM-MSCs, both mesenchymal derivatives, share a splicing programme that becomes invisible once OP monocytes are folded into the same comparison.</w:t>
      </w:r>
    </w:p>
    <w:p>
      <w:pPr>
        <w:pStyle w:val="000003"/>
      </w:pPr>
      <w:r>
        <w:t>Here we test this compartment-specific convergence hypothesis across seven cohorts. We then return to SON as a worked example. Because it has already been nominated as the causal hub of this comorbidity and advanced as a druggable target [8], it offers an unusually concrete test of whether hub-centric reasoning survives a pathway-level analysis of the same biology.</w:t>
      </w:r>
    </w:p>
    <w:p>
      <w:pPr>
        <w:pStyle w:val="000008"/>
      </w:pPr>
      <w:r>
        <w:t>Results</w:t>
      </w:r>
    </w:p>
    <w:p>
      <w:pPr>
        <w:pStyle w:val="000004"/>
      </w:pPr>
      <w:r>
        <w:t>Seven cohorts spanning three tissue compartments</w:t>
      </w:r>
    </w:p>
    <w:p>
      <w:pPr>
        <w:pStyle w:val="000003"/>
      </w:pPr>
      <w:r>
        <w:t>We assembled seven transcriptomic cohorts comprising 303 samples: four OA cartilage cohorts (GSE114007, GSE57218, GSE117999, GSE169077) [14], two OP circulating-monocyte cohorts (GSE56815, GSE7158) and one OP BM-MSC cohort (GSE35958) [9].</w:t>
      </w:r>
    </w:p>
    <w:p>
      <w:pPr>
        <w:pStyle w:val="000003"/>
      </w:pPr>
      <w:r>
        <w:t>Cohort size ranged from 9 to 80 samples across RNA sequencing and Affymetrix microarray platforms (Table 1). After batch correction and within-cohort standardisation, 10,373 genes were quantified in every cohort and used as the common universe for all downstream analyses. Figure 1 summarises the study design and cohort landscape.</w:t>
      </w:r>
    </w:p>
    <w:p>
      <w:pPr>
        <w:pStyle w:val="000003"/>
      </w:pPr>
      <w:r>
        <w:drawing>
          <wp:inline distT="0" distB="0" distL="0" distR="0">
            <wp:extent cx="5760720" cy="4896612"/>
            <wp:docPr id="2" name="" descr=""/>
            <wp:cNvGraphicFramePr>
              <a:graphicFrameLocks noChangeAspect="1"/>
            </wp:cNvGraphicFramePr>
            <a:graphic>
              <a:graphicData uri="http://schemas.openxmlformats.org/drawingml/2006/picture">
                <pic:pic>
                  <pic:nvPicPr>
                    <pic:cNvPr id="3" name=""/>
                    <pic:cNvPicPr>
                      <a:picLocks noChangeAspect="1" noChangeArrowheads="1"/>
                    </pic:cNvPicPr>
                  </pic:nvPicPr>
                  <pic:blipFill>
                    <a:blip r:embed="rId4"/>
                    <a:stretch>
                      <a:fillRect/>
                    </a:stretch>
                  </pic:blipFill>
                  <pic:spPr bwMode="auto">
                    <a:xfrm>
                      <a:off x="0" y="0"/>
                      <a:ext cx="5760720" cy="4896612"/>
                    </a:xfrm>
                    <a:prstGeom prst="rect">
                      <a:avLst/>
                    </a:prstGeom>
                    <a:noFill/>
                  </pic:spPr>
                </pic:pic>
              </a:graphicData>
            </a:graphic>
          </wp:inline>
        </w:drawing>
      </w:r>
    </w:p>
    <w:p>
      <w:pPr>
        <w:pBdr>
          <w:top w:val="none" w:color="000000" w:sz="0" w:space="0"/>
          <w:left w:val="none" w:color="000000" w:sz="0" w:space="0"/>
          <w:bottom w:val="none" w:color="000000" w:sz="0" w:space="0"/>
          <w:right w:val="none" w:color="000000" w:sz="0" w:space="0"/>
        </w:pBdr>
        <w:spacing w:before="0" w:after="0" w:line="240"/>
        <w:ind w:left="0" w:right="0" w:firstLine="0" w:firstLineChars="0"/>
        <w:jc w:val="left"/>
      </w:pPr>
      <w:r>
        <w:rPr>
          <w:rFonts w:ascii="Calibri" w:hAnsi="Calibri" w:eastAsia="Calibri" w:cs="Calibri"/>
          <w:b w:val="1"/>
          <w:i w:val="0"/>
          <w:strike w:val="0"/>
          <w:color w:val="000000"/>
          <w:sz w:val="18"/>
          <w:szCs w:val="18"/>
          <w:u w:val="none"/>
        </w:rPr>
        <w:t>Figure 1. Study design and data landscape.</w:t>
      </w:r>
      <w:r>
        <w:rPr>
          <w:rFonts w:ascii="Calibri" w:hAnsi="Calibri" w:eastAsia="Calibri" w:cs="Calibri"/>
          <w:b w:val="0"/>
          <w:i w:val="0"/>
          <w:strike w:val="0"/>
          <w:color w:val="000000"/>
          <w:sz w:val="18"/>
          <w:szCs w:val="18"/>
          <w:u w:val="none"/>
        </w:rPr>
        <w:t xml:space="preserve"> (a) Compartment model: transcriptomic sharing is hypothesised to follow tissue lineage (mesenchymal versus haematopoietic) rather than disease label. (b) The seven cohorts and their tissue assignment. (c) Pairwise Spearman correlation of per-cohort pathway z-scores; individual cohorts correlate only weakly, motivating meta-analysis rather than direct pooling.</w:t>
      </w:r>
    </w:p>
    <w:p>
      <w:pPr>
        <w:pStyle w:val="000004"/>
      </w:pPr>
      <w:r>
        <w:t>OA and OP share no gene-level signature</w:t>
      </w:r>
    </w:p>
    <w:p>
      <w:pPr>
        <w:pStyle w:val="000003"/>
      </w:pPr>
      <w:r>
        <w:t>Meta-analysis across the four OA cartilage cohorts identified 1,124 differentially expressed genes at FDR &lt; 0.05; the three OP cohorts yielded 231 (Figure 2).</w:t>
      </w:r>
    </w:p>
    <w:p>
      <w:pPr>
        <w:pStyle w:val="000003"/>
      </w:pPr>
      <w:r>
        <w:t>Only ten genes appeared in both lists, fewer than the number expected under independence (hypergeometric P = 0.67), and the genome-wide correlation of meta z-scores was -0.020 (Spearman P = 0.16).</w:t>
      </w:r>
    </w:p>
    <w:p>
      <w:pPr>
        <w:pStyle w:val="000003"/>
      </w:pPr>
      <w:r>
        <w:t>Weighted gene co-expression network analysis [15] identified disease-associated modules within each condition, but no cross-disease module pair overlapped more than expected by chance (maximum Jaccard 0.032; all FDR &gt; 0.99).</w:t>
      </w:r>
    </w:p>
    <w:p>
      <w:pPr>
        <w:pStyle w:val="000003"/>
      </w:pPr>
      <w:r>
        <w:t>Twenty-one genes were nominally shared between at least one OA module and one OP module. Several are myeloid or inflammatory (HLA-DMB, FCGR2A, ALOX5AP, MMP9, VNN2), but a formal Gene Ontology test against the 10,373-gene universe returned no enriched biological process at FDR &lt; 0.05. We therefore treat this list as descriptive only and do not interpret it as a shared inflammatory programme.</w:t>
      </w:r>
    </w:p>
    <w:p>
      <w:pPr>
        <w:pStyle w:val="000003"/>
      </w:pPr>
      <w:r>
        <w:drawing>
          <wp:inline distT="0" distB="0" distL="0" distR="0">
            <wp:extent cx="5760720" cy="4896612"/>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5"/>
                    <a:stretch>
                      <a:fillRect/>
                    </a:stretch>
                  </pic:blipFill>
                  <pic:spPr bwMode="auto">
                    <a:xfrm>
                      <a:off x="0" y="0"/>
                      <a:ext cx="5760720" cy="4896612"/>
                    </a:xfrm>
                    <a:prstGeom prst="rect">
                      <a:avLst/>
                    </a:prstGeom>
                    <a:noFill/>
                  </pic:spPr>
                </pic:pic>
              </a:graphicData>
            </a:graphic>
          </wp:inline>
        </w:drawing>
      </w:r>
    </w:p>
    <w:p>
      <w:pPr>
        <w:pBdr>
          <w:top w:val="none" w:color="000000" w:sz="0" w:space="0"/>
          <w:left w:val="none" w:color="000000" w:sz="0" w:space="0"/>
          <w:bottom w:val="none" w:color="000000" w:sz="0" w:space="0"/>
          <w:right w:val="none" w:color="000000" w:sz="0" w:space="0"/>
        </w:pBdr>
        <w:spacing w:before="0" w:after="0" w:line="240"/>
        <w:ind w:left="0" w:right="0" w:firstLine="0" w:firstLineChars="0"/>
        <w:jc w:val="left"/>
      </w:pPr>
      <w:r>
        <w:rPr>
          <w:rFonts w:ascii="Calibri" w:hAnsi="Calibri" w:eastAsia="Calibri" w:cs="Calibri"/>
          <w:b w:val="1"/>
          <w:i w:val="0"/>
          <w:strike w:val="0"/>
          <w:color w:val="000000"/>
          <w:sz w:val="18"/>
          <w:szCs w:val="18"/>
          <w:u w:val="none"/>
        </w:rPr>
        <w:t>Figure 2. Gene-level analyses reveal no shared OA-OP signature.</w:t>
      </w:r>
      <w:r>
        <w:rPr>
          <w:rFonts w:ascii="Calibri" w:hAnsi="Calibri" w:eastAsia="Calibri" w:cs="Calibri"/>
          <w:b w:val="0"/>
          <w:i w:val="0"/>
          <w:strike w:val="0"/>
          <w:color w:val="000000"/>
          <w:sz w:val="18"/>
          <w:szCs w:val="18"/>
          <w:u w:val="none"/>
        </w:rPr>
        <w:t xml:space="preserve"> (a,b) Volcano plots of meta-analytic differential expression for OA cartilage (a) and OP (b). (c) OA versus OP meta z-scores; only ten genes reached FDR &lt; 0.05 in both diseases. (d) Overlap of differentially expressed genes. (e) WGCNA cross-disease module correspondence; no module pair survived correction.</w:t>
      </w:r>
    </w:p>
    <w:p>
      <w:pPr>
        <w:pStyle w:val="000004"/>
      </w:pPr>
      <w:r>
        <w:t>Pathway convergence appears only after splitting OP by compartment</w:t>
      </w:r>
    </w:p>
    <w:p>
      <w:pPr>
        <w:pStyle w:val="000003"/>
      </w:pPr>
      <w:r>
        <w:t>We next moved to pathway level using GSVA [16] and Stouffer-weighted meta-analysis across 5,059 filtered gene sets from Hallmark, KEGG, Reactome and Gene Ontology biological process.</w:t>
      </w:r>
    </w:p>
    <w:p>
      <w:pPr>
        <w:pStyle w:val="000003"/>
      </w:pPr>
      <w:r>
        <w:t>Treated as two pooled diseases, OA and OP did not converge: six pathways were concordantly significant against a permutation mean of 9.65 (enrichment 0.62, P = 0.93), with a pathway-level correlation of -0.020.</w:t>
      </w:r>
    </w:p>
    <w:p>
      <w:pPr>
        <w:pStyle w:val="000003"/>
      </w:pPr>
      <w:r>
        <w:t>Before concluding that no convergence exists, we verified that the pipeline can detect one. Two OA cohorts profiled on different platforms converged strongly (enrichment 3.06, P &lt; 0.001, rho = 0.328), confirming adequate sensitivity (Table 2).</w:t>
      </w:r>
    </w:p>
    <w:p>
      <w:pPr>
        <w:pStyle w:val="000003"/>
      </w:pPr>
      <w:r>
        <w:t>Splitting OP by tissue then revealed a signal that pooling had erased. OA cartilage and OP BM-MSCs converged with an enrichment of 3.33 (P = 0.030, rho = 0.142) at pathway level, comparable in magnitude to the cross-platform OA positive control.</w:t>
      </w:r>
    </w:p>
    <w:p>
      <w:pPr>
        <w:pStyle w:val="000003"/>
      </w:pPr>
      <w:r>
        <w:t>The opposite pairing behaved in the opposite way: OA cartilage versus OP monocytes fell below the null expectation (enrichment 0.44, P = 0.997, rho = -0.065). The two compartments are not merely unrelated; they trend against each other, which is precisely why averaging them produces a null result.</w:t>
      </w:r>
    </w:p>
    <w:p>
      <w:pPr>
        <w:pStyle w:val="000003"/>
      </w:pPr>
      <w:r>
        <w:t>Because pathway databases contain heavily overlapping gene sets, a hypergeometric test over individual pathways overstates the evidence. We collapsed the 5,059 pathways into 2,168 gene-set families by Jaccard hierarchical clustering and repeated the analysis on family representatives. Mesenchymal convergence survived (66 observed versus 55.1 expected families, permutation P = 0.004), the pooled comparison did not (P = 0.93), and the OA-monocyte comparison remained below null (P = 0.998). Figure 3 presents these comparisons.</w:t>
      </w:r>
    </w:p>
    <w:p>
      <w:pPr>
        <w:pStyle w:val="000003"/>
      </w:pPr>
      <w:r>
        <w:drawing>
          <wp:inline distT="0" distB="0" distL="0" distR="0">
            <wp:extent cx="5760720" cy="4896612"/>
            <wp:docPr id="8" name="" descr=""/>
            <wp:cNvGraphicFramePr>
              <a:graphicFrameLocks noChangeAspect="1"/>
            </wp:cNvGraphicFramePr>
            <a:graphic>
              <a:graphicData uri="http://schemas.openxmlformats.org/drawingml/2006/picture">
                <pic:pic>
                  <pic:nvPicPr>
                    <pic:cNvPr id="9" name=""/>
                    <pic:cNvPicPr>
                      <a:picLocks noChangeAspect="1" noChangeArrowheads="1"/>
                    </pic:cNvPicPr>
                  </pic:nvPicPr>
                  <pic:blipFill>
                    <a:blip r:embed="rId6"/>
                    <a:stretch>
                      <a:fillRect/>
                    </a:stretch>
                  </pic:blipFill>
                  <pic:spPr bwMode="auto">
                    <a:xfrm>
                      <a:off x="0" y="0"/>
                      <a:ext cx="5760720" cy="4896612"/>
                    </a:xfrm>
                    <a:prstGeom prst="rect">
                      <a:avLst/>
                    </a:prstGeom>
                    <a:noFill/>
                  </pic:spPr>
                </pic:pic>
              </a:graphicData>
            </a:graphic>
          </wp:inline>
        </w:drawing>
      </w:r>
    </w:p>
    <w:p>
      <w:pPr>
        <w:pBdr>
          <w:top w:val="none" w:color="000000" w:sz="0" w:space="0"/>
          <w:left w:val="none" w:color="000000" w:sz="0" w:space="0"/>
          <w:bottom w:val="none" w:color="000000" w:sz="0" w:space="0"/>
          <w:right w:val="none" w:color="000000" w:sz="0" w:space="0"/>
        </w:pBdr>
        <w:spacing w:before="0" w:after="0" w:line="240"/>
        <w:ind w:left="0" w:right="0" w:firstLine="0" w:firstLineChars="0"/>
        <w:jc w:val="left"/>
      </w:pPr>
      <w:r>
        <w:rPr>
          <w:rFonts w:ascii="Calibri" w:hAnsi="Calibri" w:eastAsia="Calibri" w:cs="Calibri"/>
          <w:b w:val="1"/>
          <w:i w:val="0"/>
          <w:strike w:val="0"/>
          <w:color w:val="000000"/>
          <w:sz w:val="18"/>
          <w:szCs w:val="18"/>
          <w:u w:val="none"/>
        </w:rPr>
        <w:t>Figure 3. Pathway-level convergence is compartment-specific.</w:t>
      </w:r>
      <w:r>
        <w:rPr>
          <w:rFonts w:ascii="Calibri" w:hAnsi="Calibri" w:eastAsia="Calibri" w:cs="Calibri"/>
          <w:b w:val="0"/>
          <w:i w:val="0"/>
          <w:strike w:val="0"/>
          <w:color w:val="000000"/>
          <w:sz w:val="18"/>
          <w:szCs w:val="18"/>
          <w:u w:val="none"/>
        </w:rPr>
        <w:t xml:space="preserve"> (a) Convergence enrichment (observed over permutation-expected) for seven comparisons, including positive and negative controls. (b,c) Pathway z-scores for OA cartilage versus OP BM-MSC (b) and versus OP monocytes (c). (d) Family-level convergence after collapsing redundant gene sets; only the mesenchymal pair remains significant.</w:t>
      </w:r>
    </w:p>
    <w:p>
      <w:pPr>
        <w:pStyle w:val="000004"/>
      </w:pPr>
      <w:r>
        <w:t>RNA splicing is the shared mesenchymal axis</w:t>
      </w:r>
    </w:p>
    <w:p>
      <w:pPr>
        <w:pStyle w:val="000003"/>
      </w:pPr>
      <w:r>
        <w:t>We then asked which biology drives mesenchymal convergence. Of the 87 pathways concordant between OA cartilage and OP BM-MSCs, 13 were RNA splicing or mRNA metabolism terms, a 17.1-fold enrichment over background (hypergeometric P = 1.3e-10), and every one was down-regulated in disease.</w:t>
      </w:r>
    </w:p>
    <w:p>
      <w:pPr>
        <w:pStyle w:val="000003"/>
      </w:pPr>
      <w:r>
        <w:t>At family level, where redundancy is controlled, 5 of the 66 convergent families were splicing-related against a background of 12 among 2,168 families (13.7-fold, P = 1.5e-05). Representative families were REGULATION OF RNA SPLICING (z = -4.86 in OA, -2.94 in BM-MSC), MRNA SPLICE SITE SELECTION (-4.68, -3.05) and MRNA TRANSPORT (-3.37, -2.20) (Table 3; Figure 4).</w:t>
      </w:r>
    </w:p>
    <w:p>
      <w:pPr>
        <w:pStyle w:val="000003"/>
      </w:pPr>
      <w:r>
        <w:t>The enrichment was specific to the mesenchymal axis. No splicing pathway appeared among the pathways concordant between OA cartilage and OP monocytes, nor among the 128 pathways significant in monocytes alone.</w:t>
      </w:r>
    </w:p>
    <w:p>
      <w:pPr>
        <w:pStyle w:val="000003"/>
      </w:pPr>
      <w:r>
        <w:t>Resolving the axis to individual transcripts, 49 core splicing factors were down-regulated in both OA cartilage and OP BM-MSCs, including the branch-point recognition factor SF3B1, the heterogeneous nuclear ribonucleoprotein HNRNPU, the serine/arginine repetitive matrix protein SRRM1, the tri-snRNP component PRPF8 and the spliceosome-activating factor CDC5L (Table 4). Gene Ontology testing of these 49 genes returned 68 enriched biological processes, all centred on mRNA splicing and processing, confirming that the signal is not an artefact of gene-set annotation breadth.</w:t>
      </w:r>
    </w:p>
    <w:p>
      <w:pPr>
        <w:pStyle w:val="000003"/>
      </w:pPr>
      <w:r>
        <w:t>In OP monocytes the same 49 genes showed no coordinated behaviour. Across the two monocyte cohorts only 11 of 49 (22%) were concordantly down-regulated, indistinguishable from chance (binomial P = 0.74), and neither cohort alone reached significance (GSE56815: 22/49 down, P = 0.57; GSE7158: 27/49 down, P = 0.57). The mesenchymal down-regulation is therefore not a general disease or ageing effect visible in any tissue.</w:t>
      </w:r>
    </w:p>
    <w:p>
      <w:pPr>
        <w:pStyle w:val="000003"/>
      </w:pPr>
      <w:r>
        <w:t>Sample-level scores told the same story. A splicing programme score was reduced in OA cartilage (meta z = -2.53, P = 0.011) and strongly reduced in OP BM-MSCs (Hedges' g = -1.01), though the latter rests on nine samples and must be read as an effect-size estimate rather than a confirmatory test.</w:t>
      </w:r>
    </w:p>
    <w:p>
      <w:pPr>
        <w:pStyle w:val="000003"/>
      </w:pPr>
      <w:r>
        <w:t>OP monocytes moved in the opposite direction (GSE56815 g = +0.53, P = 0.019). Control programmes for osteoblast, chondrocyte and ribosomal biology showed no consistent cross-compartment convergence, indicating that the splicing result is not a generic transcriptional-activity artefact.</w:t>
      </w:r>
    </w:p>
    <w:p>
      <w:pPr>
        <w:pStyle w:val="000003"/>
      </w:pPr>
      <w:r>
        <w:drawing>
          <wp:inline distT="0" distB="0" distL="0" distR="0">
            <wp:extent cx="5760720" cy="4896612"/>
            <wp:docPr id="11" name="" descr=""/>
            <wp:cNvGraphicFramePr>
              <a:graphicFrameLocks noChangeAspect="1"/>
            </wp:cNvGraphicFramePr>
            <a:graphic>
              <a:graphicData uri="http://schemas.openxmlformats.org/drawingml/2006/picture">
                <pic:pic>
                  <pic:nvPicPr>
                    <pic:cNvPr id="12" name=""/>
                    <pic:cNvPicPr>
                      <a:picLocks noChangeAspect="1" noChangeArrowheads="1"/>
                    </pic:cNvPicPr>
                  </pic:nvPicPr>
                  <pic:blipFill>
                    <a:blip r:embed="rId7"/>
                    <a:stretch>
                      <a:fillRect/>
                    </a:stretch>
                  </pic:blipFill>
                  <pic:spPr bwMode="auto">
                    <a:xfrm>
                      <a:off x="0" y="0"/>
                      <a:ext cx="5760720" cy="4896612"/>
                    </a:xfrm>
                    <a:prstGeom prst="rect">
                      <a:avLst/>
                    </a:prstGeom>
                    <a:noFill/>
                  </pic:spPr>
                </pic:pic>
              </a:graphicData>
            </a:graphic>
          </wp:inline>
        </w:drawing>
      </w:r>
    </w:p>
    <w:p>
      <w:pPr>
        <w:pBdr>
          <w:top w:val="none" w:color="000000" w:sz="0" w:space="0"/>
          <w:left w:val="none" w:color="000000" w:sz="0" w:space="0"/>
          <w:bottom w:val="none" w:color="000000" w:sz="0" w:space="0"/>
          <w:right w:val="none" w:color="000000" w:sz="0" w:space="0"/>
        </w:pBdr>
        <w:spacing w:before="0" w:after="0" w:line="240"/>
        <w:ind w:left="0" w:right="0" w:firstLine="0" w:firstLineChars="0"/>
        <w:jc w:val="left"/>
      </w:pPr>
      <w:r>
        <w:rPr>
          <w:rFonts w:ascii="Calibri" w:hAnsi="Calibri" w:eastAsia="Calibri" w:cs="Calibri"/>
          <w:b w:val="1"/>
          <w:i w:val="0"/>
          <w:strike w:val="0"/>
          <w:color w:val="000000"/>
          <w:sz w:val="18"/>
          <w:szCs w:val="18"/>
          <w:u w:val="none"/>
        </w:rPr>
        <w:t>Figure 4. RNA splicing is the mesenchymal shared axis.</w:t>
      </w:r>
      <w:r>
        <w:rPr>
          <w:rFonts w:ascii="Calibri" w:hAnsi="Calibri" w:eastAsia="Calibri" w:cs="Calibri"/>
          <w:b w:val="0"/>
          <w:i w:val="0"/>
          <w:strike w:val="0"/>
          <w:color w:val="000000"/>
          <w:sz w:val="18"/>
          <w:szCs w:val="18"/>
          <w:u w:val="none"/>
        </w:rPr>
        <w:t xml:space="preserve"> (a) Splicing-pathway enrichment across compartment-defined gene sets; only the mesenchymal axis is enriched. (b) Top splicing pathways in the mesenchymal axis, all down-regulated in both tissues. (c) Splicing programme score by cohort (Hedges' g, case versus control). (d) Meta-analytic scores for four programmes; only splicing is consistently down-regulated in the mesenchymal compartment.</w:t>
      </w:r>
    </w:p>
    <w:p>
      <w:pPr>
        <w:pStyle w:val="000004"/>
      </w:pPr>
      <w:r>
        <w:t>Single-cell data do not localise the splicing shift to a chondrocyte subtype</w:t>
      </w:r>
    </w:p>
    <w:p>
      <w:pPr>
        <w:pStyle w:val="000003"/>
      </w:pPr>
      <w:r>
        <w:t>We examined an independent single-cell atlas of human knee cartilage (GSE324993; 37,453 cells from three healthy and three OA donors) [17] to ask whether the splicing shift is confined to a particular chondrocyte state.</w:t>
      </w:r>
    </w:p>
    <w:p>
      <w:pPr>
        <w:pStyle w:val="000003"/>
      </w:pPr>
      <w:r>
        <w:t>After pseudobulk aggregation by donor and subtype, which avoids the pseudoreplication that inflates single-cell P-values, the splicing programme was negative in six of eight subtypes but reached significance in none (all P &gt; 0.45).</w:t>
      </w:r>
    </w:p>
    <w:p>
      <w:pPr>
        <w:pStyle w:val="000003"/>
      </w:pPr>
      <w:r>
        <w:t>Cell-type composition did not differ between healthy and OA cartilage, and composition-adjusted bulk scores remained non-significant (P = 0.70). Effect sizes for the chondrocyte, osteoblast and hypertrophy control programmes were numerically larger than for splicing.</w:t>
      </w:r>
    </w:p>
    <w:p>
      <w:pPr>
        <w:pStyle w:val="000003"/>
      </w:pPr>
      <w:r>
        <w:t>We read this as a negative result at the resolution available. With three donors per group the analysis has little power, and a diffuse shift spread across all subtypes is exactly the pattern least likely to survive subtype-wise testing. SON was absent from the filtered single-cell matrix, so cell-type-resolved SON analysis was not possible. Figure 5 shows the single-cell landscape.</w:t>
      </w:r>
    </w:p>
    <w:p>
      <w:pPr>
        <w:pStyle w:val="000003"/>
      </w:pPr>
      <w:r>
        <w:drawing>
          <wp:inline distT="0" distB="0" distL="0" distR="0">
            <wp:extent cx="5760720" cy="4896612"/>
            <wp:docPr id="14" name="" descr=""/>
            <wp:cNvGraphicFramePr>
              <a:graphicFrameLocks noChangeAspect="1"/>
            </wp:cNvGraphicFramePr>
            <a:graphic>
              <a:graphicData uri="http://schemas.openxmlformats.org/drawingml/2006/picture">
                <pic:pic>
                  <pic:nvPicPr>
                    <pic:cNvPr id="15" name=""/>
                    <pic:cNvPicPr>
                      <a:picLocks noChangeAspect="1" noChangeArrowheads="1"/>
                    </pic:cNvPicPr>
                  </pic:nvPicPr>
                  <pic:blipFill>
                    <a:blip r:embed="rId8"/>
                    <a:stretch>
                      <a:fillRect/>
                    </a:stretch>
                  </pic:blipFill>
                  <pic:spPr bwMode="auto">
                    <a:xfrm>
                      <a:off x="0" y="0"/>
                      <a:ext cx="5760720" cy="4896612"/>
                    </a:xfrm>
                    <a:prstGeom prst="rect">
                      <a:avLst/>
                    </a:prstGeom>
                    <a:noFill/>
                  </pic:spPr>
                </pic:pic>
              </a:graphicData>
            </a:graphic>
          </wp:inline>
        </w:drawing>
      </w:r>
    </w:p>
    <w:p>
      <w:pPr>
        <w:pBdr>
          <w:top w:val="none" w:color="000000" w:sz="0" w:space="0"/>
          <w:left w:val="none" w:color="000000" w:sz="0" w:space="0"/>
          <w:bottom w:val="none" w:color="000000" w:sz="0" w:space="0"/>
          <w:right w:val="none" w:color="000000" w:sz="0" w:space="0"/>
        </w:pBdr>
        <w:spacing w:before="0" w:after="0" w:line="240"/>
        <w:ind w:left="0" w:right="0" w:firstLine="0" w:firstLineChars="0"/>
        <w:jc w:val="left"/>
      </w:pPr>
      <w:r>
        <w:rPr>
          <w:rFonts w:ascii="Calibri" w:hAnsi="Calibri" w:eastAsia="Calibri" w:cs="Calibri"/>
          <w:b w:val="1"/>
          <w:i w:val="0"/>
          <w:strike w:val="0"/>
          <w:color w:val="000000"/>
          <w:sz w:val="18"/>
          <w:szCs w:val="18"/>
          <w:u w:val="none"/>
        </w:rPr>
        <w:t>Figure 5. Single-cell cartilage atlas shows no subtype-specific splicing shift.</w:t>
      </w:r>
      <w:r>
        <w:rPr>
          <w:rFonts w:ascii="Calibri" w:hAnsi="Calibri" w:eastAsia="Calibri" w:cs="Calibri"/>
          <w:b w:val="0"/>
          <w:i w:val="0"/>
          <w:strike w:val="0"/>
          <w:color w:val="000000"/>
          <w:sz w:val="18"/>
          <w:szCs w:val="18"/>
          <w:u w:val="none"/>
        </w:rPr>
        <w:t xml:space="preserve"> (a,b) UMAP of 37,453 chondrocytes from three healthy and three OA donors, coloured by subtype (a) and condition (b). (c) Cell-type composition; no subtype differs significantly between groups. (d) Splicing programme score by subtype after pseudobulk aggregation; all FDR &gt; 0.45.</w:t>
      </w:r>
    </w:p>
    <w:p>
      <w:pPr>
        <w:pStyle w:val="000004"/>
      </w:pPr>
      <w:r>
        <w:t>SON reports the splicing programme but does not drive it</w:t>
      </w:r>
    </w:p>
    <w:p>
      <w:pPr>
        <w:pStyle w:val="000003"/>
      </w:pPr>
      <w:r>
        <w:t>SON organises nuclear speckles and is required for efficient spliceosome assembly [18], which made it an attractive candidate hub before the analysis began. We tested that expectation explicitly.</w:t>
      </w:r>
    </w:p>
    <w:p>
      <w:pPr>
        <w:pStyle w:val="000003"/>
      </w:pPr>
      <w:r>
        <w:t>SON was down-regulated in OA cartilage (GSE114007 logFC = -0.40, P = 0.046) and in OP BM-MSCs (logFC = -0.38, P = 0.015). In the two OP monocyte cohorts it behaved inconsistently: significantly down in GSE7158 (logFC = -0.35, P = 0.012) but unchanged in GSE56815 (logFC = 0.02, P = 0.65), and the coordinated splicing programme was recovered in neither monocyte cohort (only 11 of 49 leading-edge factors concordantly down, P = 0.74). SON expression correlated with the splicing programme score in five of seven cohorts.</w:t>
      </w:r>
    </w:p>
    <w:p>
      <w:pPr>
        <w:pStyle w:val="000003"/>
      </w:pPr>
      <w:r>
        <w:t>That correlation is partly circular, because SON belongs to the splicing gene set. Removing SON from the set left the correlations essentially unchanged (for example 0.590 to 0.577), and benchmarking against size-matched random gene sets showed that SON exceeded the random background in only four of seven cohorts.</w:t>
      </w:r>
    </w:p>
    <w:p>
      <w:pPr>
        <w:pStyle w:val="000003"/>
      </w:pPr>
      <w:r>
        <w:t>SON therefore behaves as a faithful reporter of a coordinated splicing module rather than its upstream controller.</w:t>
      </w:r>
    </w:p>
    <w:p>
      <w:pPr>
        <w:pStyle w:val="000003"/>
      </w:pPr>
      <w:r>
        <w:t>This bears directly on the recent proposal that SON is the key protein linking OP and OA [8]. Our data reproduce the observation on which that proposal rests: SON is genuinely down-regulated, and in the same direction. What the compartment analysis adds is context. SON is one of 49 splicing factors moving together in mesenchymal tissue, it carries no information beyond that module once the module is accounted for, and the co-ordination is restricted to the mesenchymal compartment. The earlier study evaluated the OP side almost entirely in peripheral blood and circulating monocytes (GSE56815, GSE48556, GSE7429, GSE7158), which is precisely the compartment in which we find the programme is not shared, and it took cartilage (GSE114007) as the OA side. A single-node interpretation is therefore difficult to reconcile with the multi-gene, compartment-restricted structure of the signal, even though the individual measurement is not in dispute.</w:t>
      </w:r>
    </w:p>
    <w:p>
      <w:pPr>
        <w:pStyle w:val="000003"/>
      </w:pPr>
      <w:r>
        <w:t>As an out-of-sample test we trained LASSO, random forest and linear-kernel SVM classifiers on OA cartilage using the splicing genes. Within OA the classifiers were moderately accurate (AUC 0.70-0.73), but transfer failed: AUC 0.30 to OP BM-MSCs (n = 9), near 0.50 to OP monocytes, and 0.32-0.60 in the reverse direction.</w:t>
      </w:r>
    </w:p>
    <w:p>
      <w:pPr>
        <w:pStyle w:val="000003"/>
      </w:pPr>
      <w:r>
        <w:t>Given nine samples in the BM-MSC cohort, the empirical null distribution of transfer AUC had a standard deviation of 0.245, so this test has almost no power and cannot distinguish a genuinely absent signature from an undetectable one. The honest conclusion is that population-level pathway convergence does not by itself deliver an individual-level biomarker. Figure 6 summarises the SON and classifier analyses.</w:t>
      </w:r>
    </w:p>
    <w:p>
      <w:pPr>
        <w:pStyle w:val="000003"/>
      </w:pPr>
      <w:r>
        <w:drawing>
          <wp:inline distT="0" distB="0" distL="0" distR="0">
            <wp:extent cx="5760720" cy="4896612"/>
            <wp:docPr id="17" name="" descr=""/>
            <wp:cNvGraphicFramePr>
              <a:graphicFrameLocks noChangeAspect="1"/>
            </wp:cNvGraphicFramePr>
            <a:graphic>
              <a:graphicData uri="http://schemas.openxmlformats.org/drawingml/2006/picture">
                <pic:pic>
                  <pic:nvPicPr>
                    <pic:cNvPr id="18" name=""/>
                    <pic:cNvPicPr>
                      <a:picLocks noChangeAspect="1" noChangeArrowheads="1"/>
                    </pic:cNvPicPr>
                  </pic:nvPicPr>
                  <pic:blipFill>
                    <a:blip r:embed="rId9"/>
                    <a:stretch>
                      <a:fillRect/>
                    </a:stretch>
                  </pic:blipFill>
                  <pic:spPr bwMode="auto">
                    <a:xfrm>
                      <a:off x="0" y="0"/>
                      <a:ext cx="5760720" cy="4896612"/>
                    </a:xfrm>
                    <a:prstGeom prst="rect">
                      <a:avLst/>
                    </a:prstGeom>
                    <a:noFill/>
                  </pic:spPr>
                </pic:pic>
              </a:graphicData>
            </a:graphic>
          </wp:inline>
        </w:drawing>
      </w:r>
    </w:p>
    <w:p>
      <w:pPr>
        <w:pBdr>
          <w:top w:val="none" w:color="000000" w:sz="0" w:space="0"/>
          <w:left w:val="none" w:color="000000" w:sz="0" w:space="0"/>
          <w:bottom w:val="none" w:color="000000" w:sz="0" w:space="0"/>
          <w:right w:val="none" w:color="000000" w:sz="0" w:space="0"/>
        </w:pBdr>
        <w:spacing w:before="0" w:after="0" w:line="240"/>
        <w:ind w:left="0" w:right="0" w:firstLine="0" w:firstLineChars="0"/>
        <w:jc w:val="left"/>
      </w:pPr>
      <w:r>
        <w:rPr>
          <w:rFonts w:ascii="Calibri" w:hAnsi="Calibri" w:eastAsia="Calibri" w:cs="Calibri"/>
          <w:b w:val="1"/>
          <w:i w:val="0"/>
          <w:strike w:val="0"/>
          <w:color w:val="000000"/>
          <w:sz w:val="18"/>
          <w:szCs w:val="18"/>
          <w:u w:val="none"/>
        </w:rPr>
        <w:t>Figure 6. SON tracks the splicing programme; classifier transfer fails.</w:t>
      </w:r>
      <w:r>
        <w:rPr>
          <w:rFonts w:ascii="Calibri" w:hAnsi="Calibri" w:eastAsia="Calibri" w:cs="Calibri"/>
          <w:b w:val="0"/>
          <w:i w:val="0"/>
          <w:strike w:val="0"/>
          <w:color w:val="000000"/>
          <w:sz w:val="18"/>
          <w:szCs w:val="18"/>
          <w:u w:val="none"/>
        </w:rPr>
        <w:t xml:space="preserve"> (a) SON differential expression across cohorts. (b) Correlation between SON expression and splicing programme score, before and after removing SON from the gene set. (c) Cross-compartment classifier transfer AUCs with empirical null distributions. (d) Genetic convergence: GWAS Catalog loci for bone and joint traits overlap the candidate gene set (see Discussion).</w:t>
      </w:r>
    </w:p>
    <w:p>
      <w:pPr>
        <w:pStyle w:val="000008"/>
      </w:pPr>
      <w:r>
        <w:t>Discussion</w:t>
      </w:r>
    </w:p>
    <w:p>
      <w:pPr>
        <w:pStyle w:val="000003"/>
      </w:pPr>
      <w:r>
        <w:t>Our analysis reframes a long-standing question. Rather than asking whether OA and OP share a gene signature, we asked whether they share a programme once their constituent tissues are assigned to the correct developmental compartment.</w:t>
      </w:r>
    </w:p>
    <w:p>
      <w:pPr>
        <w:pStyle w:val="000003"/>
      </w:pPr>
      <w:r>
        <w:t>The answer has three layers. At gene level there is no overlap. At pathway level there is none either, as long as OP tissues are pooled. Within the mesenchymal compartment, however, OA cartilage and OP BM-MSCs share a reproducible down-regulation of RNA splicing and mRNA metabolism machinery.</w:t>
      </w:r>
    </w:p>
    <w:p>
      <w:pPr>
        <w:pStyle w:val="000003"/>
      </w:pPr>
      <w:r>
        <w:t>This structure reconciles a literature that has often looked contradictory. Comparisons of OA cartilage with OP whole blood or monocytes see little sharing because the haematopoietic compartment carries an independent, partly opposite signal [8]. Studies that happened to use bone-marrow stroma may have detected mesenchymal changes without recognising them as a lineage-level rather than disease-level phenomenon [6].</w:t>
      </w:r>
    </w:p>
    <w:p>
      <w:pPr>
        <w:pStyle w:val="000003"/>
      </w:pPr>
      <w:r>
        <w:t>It also explains why our gene-level result reads as more negative than published ones. Intersecting nominally significant differentially expressed genes from two cohorts routinely recovers tens of shared genes and a compact hub list [6,7]. We recover such genes as well: 21 appear in co-expression modules of both diseases. The difference lies in what follows. Formal over-representation testing of those 21 genes against the 10,373-gene universe returned no enriched biological process at FDR &lt; 0.05, and they did not reproduce in cross-cohort meta-analysis. Intersections of this size are expected under the null when cohorts are small and thresholds are nominal, which is consistent with the observation that successive studies keep reporting hub lists that do not overlap each other.</w:t>
      </w:r>
    </w:p>
    <w:p>
      <w:pPr>
        <w:pStyle w:val="000003"/>
      </w:pPr>
      <w:r>
        <w:t>The biology is coherent with what is known about mesenchymal ageing. Splicing-factor expression falls with senescence [11,12] and MSC lineage choice depends on alternative splicing of osteogenic transcripts [13]. A shared decline in splicing capacity across cartilage and marrow stroma is therefore more plausibly a common mesenchymal ageing or stress response than a disease-transmission mechanism between joint and bone.</w:t>
      </w:r>
    </w:p>
    <w:p>
      <w:pPr>
        <w:pStyle w:val="000003"/>
      </w:pPr>
      <w:r>
        <w:t>The SON analysis shows the practical cost of candidate-hub reasoning. SON is mechanistically attractive, it is down-regulated in the right tissues, and it correlates with the programme; on that basis it has already been proposed as the molecular link between OP and OA and taken into target screening [8]. We do not dispute the underlying measurement, and our own data agree with it. The disagreement concerns what the measurement licenses. Removing SON from the gene set barely changed the correlations, which is the signature of a passenger rather than a driver, and the module it reports is coherent only within the mesenchymal compartment. Single-node intervention against a distributed module of this kind is unlikely to restore it, and a target nominated from haematopoietic or pooled tissue may not act in the compartment where the programme actually holds together. The wider point is that co-expression hubs are selected partly for connectivity, so a gene can rank first in a network and still be the least informative member of its own module.</w:t>
      </w:r>
    </w:p>
    <w:p>
      <w:pPr>
        <w:pStyle w:val="000003"/>
      </w:pPr>
      <w:r>
        <w:t>Two results were negative and we report them as such. The single-cell atlas did not localise the splicing shift to any chondrocyte subtype, and cross-compartment classifiers did not transfer. Both analyses are underpowered, with three donors per group and nine BM-MSC samples respectively, so they constrain interpretation rather than refute the main finding.</w:t>
      </w:r>
    </w:p>
    <w:p>
      <w:pPr>
        <w:pStyle w:val="000003"/>
      </w:pPr>
      <w:r>
        <w:t>Independent genetic evidence, although observational, converges with the transcriptomic result. Querying the GWAS Catalog (www.ebi.ac.uk/gwas) for the 70 candidate genes against bone and joint traits returned 114 genome-wide significant association records at 17 loci, including SON and ten additional core splicing factors (CDC5L, SF3A3, RBM39, SART1, QKI, PRPF38B, DHX15, CTNNBL1, KHDRBS1, NCBP1); the strongest signals were with estimated BMD at the heel, where the CDC5L locus reached P &lt; 1e-100. These are tract-wide associations rather than proof of causal splicing dysregulation and do not establish direction, but they place the mesenchymal splicing programme within the inherited architecture of bone and joint liability.</w:t>
      </w:r>
    </w:p>
    <w:p>
      <w:pPr>
        <w:pStyle w:val="000003"/>
      </w:pPr>
      <w:r>
        <w:t>Two recent genetic studies of splicing in joint tissue support both the plausibility of the mechanism and, independently, its tissue specificity. Splicing quantitative trait loci mapped across cartilage and synovium show a tissue-specific regulatory architecture for joint-related traits [19], and response splicing quantitative trait loci in primary human chondrocytes identify OA risk genes that act through isoform usage rather than total transcript abundance [20]. Together these establish that splicing regulation in joint tissue is heritable, disease-relevant and not uniform across tissues, which is the pattern our transcriptomic result would predict. Neither study profiles bone-marrow stroma, so the mesenchymal-axis extension we propose here remains an open prediction rather than a confirmed one.</w:t>
      </w:r>
    </w:p>
    <w:p>
      <w:pPr>
        <w:pStyle w:val="000003"/>
      </w:pPr>
      <w:r>
        <w:t>The remaining gap is causal direction. We could not complete a Mendelian randomisation analysis: full GWAS summary statistics for estimated BMD, fracture and OA were not retrievable at a workable download rate within this project, and partial files cannot support valid instrument selection. We therefore cannot say whether reduced splicing capacity precedes disease, follows it, or reflects shared upstream ageing. Extending the existing cartilage and synovium splicing-QTL maps to bone-marrow stroma, and combining them with the large BMD and OA GWAS [4,5], would be the natural way to settle this.</w:t>
      </w:r>
    </w:p>
    <w:p>
      <w:pPr>
        <w:pStyle w:val="000003"/>
      </w:pPr>
      <w:r>
        <w:t>Other limitations deserve emphasis. Only one BM-MSC cohort exists in the public domain, and it contains nine samples, so the mesenchymal axis rests asymmetrically on a small dataset even though the pathway-level statistics account for it. Cohorts differ in platform and in the anatomical site sampled. Sex and age distributions could not be harmonised across all datasets. Finally, transcript abundance of splicing factors is an indirect proxy: we did not measure splicing events themselves, and confirming altered isoform usage would require junction-level RNA-sequencing analysis in matched tissues.</w:t>
      </w:r>
    </w:p>
    <w:p>
      <w:pPr>
        <w:pStyle w:val="000003"/>
      </w:pPr>
      <w:r>
        <w:t>In summary, the transcriptomic convergence between OA and OP is real but compartment-specific. Articular cartilage and bone-marrow stroma are linked by a down-regulated RNA splicing programme, while the haematopoietic compartment follows its own trajectory. Study designs that pool tissues by disease label will keep cancelling this signal, and biomarker or therapeutic work should be anchored to the tissue compartment rather than the diagnosis.</w:t>
      </w:r>
    </w:p>
    <w:p>
      <w:pPr>
        <w:pStyle w:val="000008"/>
      </w:pPr>
      <w:r>
        <w:t>Methods</w:t>
      </w:r>
    </w:p>
    <w:p>
      <w:pPr>
        <w:pStyle w:val="000003"/>
      </w:pPr>
      <w:r>
        <w:t>Data collection and preprocessing. Seven publicly available GEO datasets were retrieved and processed with a common pipeline. Expression matrices were log2-transformed, corrected for batch effects with ComBat [21], and filtered to remove genes with zero variance or missing values. Case/control status, donor identifiers and available clinical metadata were harmonised across cohorts. Analyses were restricted to the 10,373 genes measured in all seven cohorts.</w:t>
      </w:r>
    </w:p>
    <w:p>
      <w:pPr>
        <w:pStyle w:val="000003"/>
      </w:pPr>
      <w:r>
        <w:t>Differential expression. limma-voom was used for RNA-sequencing data and limma for microarrays [22]. Paired designs were modelled with duplicateCorrelation using donor as the blocking variable. Cohort-level statistics were combined by Stouffer's weighted z-score method with weights proportional to the square root of sample size, and multiplicity was controlled by the Benjamini-Hochberg procedure [23].</w:t>
      </w:r>
    </w:p>
    <w:p>
      <w:pPr>
        <w:pStyle w:val="000003"/>
      </w:pPr>
      <w:r>
        <w:t>Co-expression network analysis. WGCNA [15] was run separately per disease with a soft-threshold power chosen by scale-free topology fit. Module-trait associations were computed against case/control status, and cross-disease module correspondence was tested by hypergeometric overlap with Benjamini-Hochberg correction.</w:t>
      </w:r>
    </w:p>
    <w:p>
      <w:pPr>
        <w:pStyle w:val="000003"/>
      </w:pPr>
      <w:r>
        <w:t>Pathway analysis. GSVA scores were computed with Hallmark, KEGG, Reactome and Gene Ontology biological process gene sets from MSigDB, retaining sets with 15 to 300 genes present in the common universe (5,059 sets). Differential pathway activity was assessed with limma and combined across cohorts by the same Stouffer procedure. Convergence was defined as concordant direction with FDR &lt; 0.05 in both arms of a comparison.</w:t>
      </w:r>
    </w:p>
    <w:p>
      <w:pPr>
        <w:pStyle w:val="000003"/>
      </w:pPr>
      <w:r>
        <w:t>Null models. Three complementary nulls were used. First, pathway labels were permuted conditional on the marginal significant sets of each disease (2,000 permutations), which tests convergence while preserving the observed number of significant pathways. Second, case/control labels were permuted within cohorts (500 permutations) and the entire pipeline was rerun; this preserves the correlation structure among pathways but destroys all disease signal, so it establishes that signal exists rather than discriminating between competing convergence models. Third, gene sets were clustered into families by Jaccard distance (hierarchical clustering, cut height 0.7, yielding 2,168 families) and the analysis was repeated on family representatives to remove the pseudo-independence created by shared genes.</w:t>
      </w:r>
    </w:p>
    <w:p>
      <w:pPr>
        <w:pStyle w:val="000003"/>
      </w:pPr>
      <w:r>
        <w:t>Functional annotation. Gene Ontology biological process over-representation was tested with clusterProfiler using the 10,373-gene common universe as background rather than the whole genome, and Benjamini-Hochberg correction at FDR &lt; 0.05.</w:t>
      </w:r>
    </w:p>
    <w:p>
      <w:pPr>
        <w:pStyle w:val="000003"/>
      </w:pPr>
      <w:r>
        <w:t>Single-cell analysis. The GSE324993 dataset was processed in Seurat [24] with log-normalisation, principal component analysis and UMAP. Programme scores were computed with AddModuleScore against control gene sets of matched expression. To avoid pseudoreplication, cell-level scores were aggregated to donor-by-subtype pseudobulk values before testing with two-sided t-tests and Hedges' g. Composition effects were assessed by comparing subtype proportions between groups and by recomputing bulk scores weighted to a common composition.</w:t>
      </w:r>
    </w:p>
    <w:p>
      <w:pPr>
        <w:pStyle w:val="000003"/>
      </w:pPr>
      <w:r>
        <w:t>Machine learning. LASSO [25], random forest and linear-kernel SVM classifiers were trained on within-cohort z-standardised expression of the splicing gene set in one compartment and evaluated in another. Discrimination was summarised by area under the ROC curve [26]. Empirical null distributions were generated from 200 size-matched random gene sets.</w:t>
      </w:r>
    </w:p>
    <w:p>
      <w:pPr>
        <w:pStyle w:val="000003"/>
      </w:pPr>
      <w:r>
        <w:t>Genetic evidence. The GWAS Catalog (www.ebi.ac.uk/gwas, alt-full associations release) was queried for the 70 candidate genes (49 mesenchymal-axis splicing factors, including SON, plus 21 nominal WGCNA-shared genes) against bone and joint traits (osteoarthritis, bone mineral density, osteoporosis, fracture). A record was retained when its mapped or reported gene matched a candidate and its trait matched a bone or joint term.</w:t>
      </w:r>
    </w:p>
    <w:p>
      <w:pPr>
        <w:pStyle w:val="000003"/>
      </w:pPr>
      <w:r>
        <w:t>Software and reproducibility. All analyses were performed in R 4.6.1 with a fixed random seed. Analysis code, intermediate objects, figures and tables are deposited in the project repository, organised so that each numbered script can be rerun independently.</w:t>
      </w:r>
    </w:p>
    <w:p>
      <w:r>
        <w:t>Clinical trial number: not applicable.</w:t>
      </w:r>
    </w:p>
    <w:p>
      <w:pPr>
        <w:pStyle w:val="000008"/>
      </w:pPr>
      <w:r>
        <w:t>Declarations</w:t>
      </w:r>
    </w:p>
    <w:p>
      <w:pPr>
        <w:pStyle w:val="000003"/>
      </w:pPr>
      <w:r>
        <w:t>Ethics approval. Not applicable. This study analysed only publicly available, de-identified datasets obtained from the Gene Expression Omnibus. Each original study obtained its own ethical approval and informed consent.</w:t>
      </w:r>
    </w:p>
    <w:p>
      <w:pPr>
        <w:pStyle w:val="000003"/>
      </w:pPr>
      <w:r>
        <w:t>Data availability. All datasets are publicly available from the Gene Expression Omnibus under accessions GSE114007, GSE57218, GSE117999, GSE169077, GSE56815, GSE7158, GSE35958 and GSE324993.</w:t>
      </w:r>
    </w:p>
    <w:p>
      <w:pPr>
        <w:pStyle w:val="000003"/>
      </w:pPr>
      <w:r>
        <w:t>Code availability. Analysis code and intermediate results are deposited in a public GitHub repository (URL: https://github.com/[ACCOUNT]/[REPO]) and archived at Zenodo (DOI: 10.5281/zenodo.[ID]); the repository is set to public and released under an open-source licence.</w:t>
      </w:r>
    </w:p>
    <w:p>
      <w:pPr>
        <w:pStyle w:val="000003"/>
      </w:pPr>
      <w:r>
        <w:t>Funding. This work was supported by the Self-initiated Science and Technology Plan Project of Huaibei Municipal Bureau of Science and Technology (No. 2025HK044).</w:t>
      </w:r>
    </w:p>
    <w:p>
      <w:pPr>
        <w:pStyle w:val="000003"/>
      </w:pPr>
      <w:r>
        <w:t>Author contributions. Wei Yuwei: data curation, formal analysis, investigation, visualisation, writing — review and editing. Li Peng: methodology, software, validation, writing — review and editing. Chen Kai: resources, data curation, validation, writing — review and editing. Zhang Dong: conceptualization, methodology, formal analysis, writing — original draft, supervision, funding acquisition. All authors read and approved the final manuscript.</w:t>
      </w:r>
    </w:p>
    <w:p>
      <w:pPr>
        <w:pStyle w:val="000003"/>
      </w:pPr>
      <w:r>
        <w:t>Corresponding author. Zhang Dong, MD, Chief Physician. Email: zhangdht@126.com. ORCID: 0009-0006-9000-273X.</w:t>
      </w:r>
    </w:p>
    <w:p>
      <w:pPr>
        <w:pStyle w:val="000003"/>
      </w:pPr>
      <w:r>
        <w:t>Competing interests. The authors declare no competing interests.</w:t>
      </w:r>
    </w:p>
    <w:p>
      <w:r>
        <w:br w:type="page"/>
      </w:r>
    </w:p>
    <w:p>
      <w:pPr>
        <w:pStyle w:val="000008"/>
      </w:pPr>
      <w:r>
        <w:t>Tables</w:t>
      </w:r>
    </w:p>
    <w:p>
      <w:pPr>
        <w:pBdr>
          <w:top w:val="none" w:color="000000" w:sz="0" w:space="0"/>
          <w:left w:val="none" w:color="000000" w:sz="0" w:space="0"/>
          <w:bottom w:val="none" w:color="000000" w:sz="0" w:space="0"/>
          <w:right w:val="none" w:color="000000" w:sz="0" w:space="0"/>
        </w:pBdr>
        <w:spacing w:before="0" w:after="0" w:line="240"/>
        <w:ind w:left="0" w:right="0" w:firstLine="0" w:firstLineChars="0"/>
        <w:jc w:val="left"/>
      </w:pPr>
      <w:r>
        <w:rPr>
          <w:rFonts w:ascii="Calibri" w:hAnsi="Calibri" w:eastAsia="Calibri" w:cs="Calibri"/>
          <w:b w:val="1"/>
          <w:i w:val="0"/>
          <w:strike w:val="0"/>
          <w:color w:val="000000"/>
          <w:sz w:val="18"/>
          <w:szCs w:val="18"/>
          <w:u w:val="none"/>
        </w:rPr>
        <w:t>Table 1. Transcriptomic cohorts included in the analysis.</w:t>
      </w:r>
    </w:p>
    <w:tbl>
      <w:tblPr>
        <w:tblW w:w="5000" w:type="pct"/>
        <w:jc w:val="center"/>
        <w:tblLayout w:type="autofit"/>
        <w:tblLook w:firstRow="1" w:lastRow="0" w:firstColumn="0" w:lastColumn="0" w:noHBand="0" w:noVBand="1"/>
      </w:tblPr>
      <w:tblGrid>
        <w:gridCol w:w="0"/>
        <w:gridCol w:w="0"/>
        <w:gridCol w:w="0"/>
        <w:gridCol w:w="0"/>
        <w:gridCol w:w="0"/>
        <w:gridCol w:w="0"/>
        <w:gridCol w:w="0"/>
        <w:gridCol w:w="0"/>
      </w:tblGrid>
      <w:tr>
        <w:trPr>
          <w:trHeight w:val="360" w:hRule="auto"/>
          <w:tblHeader w:val="1"/>
        </w:trPr>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Cohort</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Disease</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Tissue</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Platform</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n Control</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n Case</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n Total</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Genes</w:t>
            </w:r>
          </w:p>
        </w:tc>
      </w:tr>
      <w:tr>
        <w:trPr>
          <w:trHeight w:val="360" w:hRule="auto"/>
        </w:trPr>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GSE114007</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OA</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knee cartilage</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RNA-seq</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18</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20</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38</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23,710</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GSE57218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OA</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knee/hip cartilage</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GPL570</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66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25,149</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GSE117999</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OA</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knee cartilage</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GPL10295</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10</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10</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20</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34,814</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GSE169077</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OA</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knee cartilage</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GPL96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5</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13,101</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GSE56815</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OP</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monocyte</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GPL96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40</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40</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80</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13,039</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GSE7158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OP</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monocyte</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GPL570</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21,355</w:t>
            </w:r>
          </w:p>
        </w:tc>
      </w:tr>
      <w:tr>
        <w:trPr>
          <w:trHeight w:val="360" w:hRule="auto"/>
        </w:trPr>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GSE35958</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OP</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BM-MSC</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GPL570</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4</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5</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9</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21,355</w:t>
            </w:r>
          </w:p>
        </w:tc>
      </w:tr>
    </w:tbl>
    <w:p>
      <w:pPr>
        <w:pBdr>
          <w:top w:val="none" w:color="000000" w:sz="0" w:space="0"/>
          <w:left w:val="none" w:color="000000" w:sz="0" w:space="0"/>
          <w:bottom w:val="none" w:color="000000" w:sz="0" w:space="0"/>
          <w:right w:val="none" w:color="000000" w:sz="0" w:space="0"/>
        </w:pBdr>
        <w:spacing w:before="0" w:after="0" w:line="240"/>
        <w:ind w:left="0" w:right="0" w:firstLine="0" w:firstLineChars="0"/>
        <w:jc w:val="left"/>
      </w:pPr>
      <w:r>
        <w:rPr>
          <w:rFonts w:ascii="Calibri" w:hAnsi="Calibri" w:eastAsia="Calibri" w:cs="Calibri"/>
          <w:b w:val="0"/>
          <w:i w:val="0"/>
          <w:strike w:val="0"/>
          <w:color w:val="000000"/>
          <w:sz w:val="18"/>
          <w:szCs w:val="18"/>
          <w:u w:val="none"/>
        </w:rPr>
        <w:t>BM-MSC, bone-marrow mesenchymal stem cell. Gene counts refer to genes retained after per-cohort filtering; all cross-cohort analyses used the 10,373 genes common to every dataset.</w:t>
      </w:r>
    </w:p>
    <w:p>
      <w:pPr>
        <w:pStyle w:val="000003"/>
      </w:pPr>
    </w:p>
    <w:p>
      <w:pPr>
        <w:pBdr>
          <w:top w:val="none" w:color="000000" w:sz="0" w:space="0"/>
          <w:left w:val="none" w:color="000000" w:sz="0" w:space="0"/>
          <w:bottom w:val="none" w:color="000000" w:sz="0" w:space="0"/>
          <w:right w:val="none" w:color="000000" w:sz="0" w:space="0"/>
        </w:pBdr>
        <w:spacing w:before="0" w:after="0" w:line="240"/>
        <w:ind w:left="0" w:right="0" w:firstLine="0" w:firstLineChars="0"/>
        <w:jc w:val="left"/>
      </w:pPr>
      <w:r>
        <w:rPr>
          <w:rFonts w:ascii="Calibri" w:hAnsi="Calibri" w:eastAsia="Calibri" w:cs="Calibri"/>
          <w:b w:val="1"/>
          <w:i w:val="0"/>
          <w:strike w:val="0"/>
          <w:color w:val="000000"/>
          <w:sz w:val="18"/>
          <w:szCs w:val="18"/>
          <w:u w:val="none"/>
        </w:rPr>
        <w:t>Table 2a. Pathway-level convergence and control comparisons.</w:t>
      </w:r>
    </w:p>
    <w:tbl>
      <w:tblPr>
        <w:tblW w:w="5000" w:type="pct"/>
        <w:jc w:val="center"/>
        <w:tblLayout w:type="autofit"/>
        <w:tblLook w:firstRow="1" w:lastRow="0" w:firstColumn="0" w:lastColumn="0" w:noHBand="0" w:noVBand="1"/>
      </w:tblPr>
      <w:tblGrid>
        <w:gridCol w:w="0"/>
        <w:gridCol w:w="0"/>
        <w:gridCol w:w="0"/>
        <w:gridCol w:w="0"/>
        <w:gridCol w:w="0"/>
        <w:gridCol w:w="0"/>
        <w:gridCol w:w="0"/>
        <w:gridCol w:w="0"/>
        <w:gridCol w:w="0"/>
      </w:tblGrid>
      <w:tr>
        <w:trPr>
          <w:trHeight w:val="360" w:hRule="auto"/>
          <w:tblHeader w:val="1"/>
        </w:trPr>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Comparison</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n pathways</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n sig A</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n sig B</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Observed</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Perm mean</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Enrichment</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Spearman rho</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Perm P</w:t>
            </w:r>
          </w:p>
        </w:tc>
      </w:tr>
      <w:tr>
        <w:trPr>
          <w:trHeight w:val="360" w:hRule="auto"/>
        </w:trPr>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OA vs OP (pooled)</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5059</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1008</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89</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6</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9.649</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0.62</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-0.02</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0.934</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OA RNA-seq vs OA array (positive ctrl)</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5055</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1305</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232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86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28.11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3.06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0.328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5.00e-04</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GSE114007 vs GSE57218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4882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1252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239</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57</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26.44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2.16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0.143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5.00e-04</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GSE57218 vs GSE169077</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4559</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221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224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12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5.561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2.16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0.13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0.01</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OP monocyte vs OP BM-MSC</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5136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131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13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0.11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-0.034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1</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OA cartilage vs OP BM-MSC</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5059</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1008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13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1.2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3.33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0.142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0.03</w:t>
            </w:r>
          </w:p>
        </w:tc>
      </w:tr>
      <w:tr>
        <w:trPr>
          <w:trHeight w:val="360" w:hRule="auto"/>
        </w:trPr>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OA cartilage vs OP monocyte</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5059</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1008</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128</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6</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13.77</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0.44</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-0.065</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0.997</w:t>
            </w:r>
          </w:p>
        </w:tc>
      </w:tr>
    </w:tbl>
    <w:p>
      <w:pPr>
        <w:pBdr>
          <w:top w:val="none" w:color="000000" w:sz="0" w:space="0"/>
          <w:left w:val="none" w:color="000000" w:sz="0" w:space="0"/>
          <w:bottom w:val="none" w:color="000000" w:sz="0" w:space="0"/>
          <w:right w:val="none" w:color="000000" w:sz="0" w:space="0"/>
        </w:pBdr>
        <w:spacing w:before="0" w:after="0" w:line="240"/>
        <w:ind w:left="0" w:right="0" w:firstLine="0" w:firstLineChars="0"/>
        <w:jc w:val="left"/>
      </w:pPr>
      <w:r>
        <w:rPr>
          <w:rFonts w:ascii="Calibri" w:hAnsi="Calibri" w:eastAsia="Calibri" w:cs="Calibri"/>
          <w:b w:val="0"/>
          <w:i w:val="0"/>
          <w:strike w:val="0"/>
          <w:color w:val="000000"/>
          <w:sz w:val="18"/>
          <w:szCs w:val="18"/>
          <w:u w:val="none"/>
        </w:rPr>
        <w:t>Enrichment is the observed number of concordant significant pathways divided by the permutation-derived expectation. P values come from 2,000 pathway-label permutations conditional on marginal significance.</w:t>
      </w:r>
    </w:p>
    <w:p>
      <w:pPr>
        <w:pStyle w:val="000003"/>
      </w:pPr>
    </w:p>
    <w:p>
      <w:pPr>
        <w:pBdr>
          <w:top w:val="none" w:color="000000" w:sz="0" w:space="0"/>
          <w:left w:val="none" w:color="000000" w:sz="0" w:space="0"/>
          <w:bottom w:val="none" w:color="000000" w:sz="0" w:space="0"/>
          <w:right w:val="none" w:color="000000" w:sz="0" w:space="0"/>
        </w:pBdr>
        <w:spacing w:before="0" w:after="0" w:line="240"/>
        <w:ind w:left="0" w:right="0" w:firstLine="0" w:firstLineChars="0"/>
        <w:jc w:val="left"/>
      </w:pPr>
      <w:r>
        <w:rPr>
          <w:rFonts w:ascii="Calibri" w:hAnsi="Calibri" w:eastAsia="Calibri" w:cs="Calibri"/>
          <w:b w:val="1"/>
          <w:i w:val="0"/>
          <w:strike w:val="0"/>
          <w:color w:val="000000"/>
          <w:sz w:val="18"/>
          <w:szCs w:val="18"/>
          <w:u w:val="none"/>
        </w:rPr>
        <w:t>Table 2b. Family-level convergence after collapsing redundant gene sets.</w:t>
      </w:r>
    </w:p>
    <w:tbl>
      <w:tblPr>
        <w:tblW w:w="5000" w:type="pct"/>
        <w:jc w:val="center"/>
        <w:tblLayout w:type="autofit"/>
        <w:tblLook w:firstRow="1" w:lastRow="0" w:firstColumn="0" w:lastColumn="0" w:noHBand="0" w:noVBand="1"/>
      </w:tblPr>
      <w:tblGrid>
        <w:gridCol w:w="0"/>
        <w:gridCol w:w="0"/>
        <w:gridCol w:w="0"/>
        <w:gridCol w:w="0"/>
        <w:gridCol w:w="0"/>
        <w:gridCol w:w="0"/>
        <w:gridCol w:w="0"/>
        <w:gridCol w:w="0"/>
        <w:gridCol w:w="0"/>
      </w:tblGrid>
      <w:tr>
        <w:trPr>
          <w:trHeight w:val="360" w:hRule="auto"/>
          <w:tblHeader w:val="1"/>
        </w:trPr>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Comparison</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n families</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n sig A</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n sig B</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Observed</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Expected</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Enrichment</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Perm P</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Splice families</w:t>
            </w:r>
          </w:p>
        </w:tc>
      </w:tr>
      <w:tr>
        <w:trPr>
          <w:trHeight w:val="360" w:hRule="auto"/>
        </w:trPr>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OA array vs OA RNA-seq (positive ctrl)</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2158</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733</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135</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48</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22.98</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2.09</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2.00e-04</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OA cartilage vs OP BM-MSC (mesenchymal)</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2168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580</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412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66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55.07</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1.2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0.004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5</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OA cartilage vs OP monocyte (cross-compartment)</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2168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579</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82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10.96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0.55</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0.998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w:t>
            </w:r>
          </w:p>
        </w:tc>
      </w:tr>
      <w:tr>
        <w:trPr>
          <w:trHeight w:val="360" w:hRule="auto"/>
        </w:trPr>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OA vs OP (pooled)</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2168</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575</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62</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6</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8.27</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0.73</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0.931</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w:t>
            </w:r>
          </w:p>
        </w:tc>
      </w:tr>
    </w:tbl>
    <w:p>
      <w:pPr>
        <w:pBdr>
          <w:top w:val="none" w:color="000000" w:sz="0" w:space="0"/>
          <w:left w:val="none" w:color="000000" w:sz="0" w:space="0"/>
          <w:bottom w:val="none" w:color="000000" w:sz="0" w:space="0"/>
          <w:right w:val="none" w:color="000000" w:sz="0" w:space="0"/>
        </w:pBdr>
        <w:spacing w:before="0" w:after="0" w:line="240"/>
        <w:ind w:left="0" w:right="0" w:firstLine="0" w:firstLineChars="0"/>
        <w:jc w:val="left"/>
      </w:pPr>
      <w:r>
        <w:rPr>
          <w:rFonts w:ascii="Calibri" w:hAnsi="Calibri" w:eastAsia="Calibri" w:cs="Calibri"/>
          <w:b w:val="0"/>
          <w:i w:val="0"/>
          <w:strike w:val="0"/>
          <w:color w:val="000000"/>
          <w:sz w:val="18"/>
          <w:szCs w:val="18"/>
          <w:u w:val="none"/>
        </w:rPr>
        <w:t>The 5,059 pathways were clustered into 2,168 families by Jaccard distance (cut height 0.7). Analysis was repeated on family representatives to remove pseudo-independence from shared genes.</w:t>
      </w:r>
    </w:p>
    <w:p>
      <w:pPr>
        <w:pStyle w:val="000003"/>
      </w:pPr>
    </w:p>
    <w:p>
      <w:pPr>
        <w:pBdr>
          <w:top w:val="none" w:color="000000" w:sz="0" w:space="0"/>
          <w:left w:val="none" w:color="000000" w:sz="0" w:space="0"/>
          <w:bottom w:val="none" w:color="000000" w:sz="0" w:space="0"/>
          <w:right w:val="none" w:color="000000" w:sz="0" w:space="0"/>
        </w:pBdr>
        <w:spacing w:before="0" w:after="0" w:line="240"/>
        <w:ind w:left="0" w:right="0" w:firstLine="0" w:firstLineChars="0"/>
        <w:jc w:val="left"/>
      </w:pPr>
      <w:r>
        <w:rPr>
          <w:rFonts w:ascii="Calibri" w:hAnsi="Calibri" w:eastAsia="Calibri" w:cs="Calibri"/>
          <w:b w:val="1"/>
          <w:i w:val="0"/>
          <w:strike w:val="0"/>
          <w:color w:val="000000"/>
          <w:sz w:val="18"/>
          <w:szCs w:val="18"/>
          <w:u w:val="none"/>
        </w:rPr>
        <w:t>Table 3. Splicing pathways of the mesenchymal axis.</w:t>
      </w:r>
    </w:p>
    <w:tbl>
      <w:tblPr>
        <w:tblW w:w="5000" w:type="pct"/>
        <w:jc w:val="center"/>
        <w:tblLayout w:type="autofit"/>
        <w:tblLook w:firstRow="1" w:lastRow="0" w:firstColumn="0" w:lastColumn="0" w:noHBand="0" w:noVBand="1"/>
      </w:tblPr>
      <w:tblGrid>
        <w:gridCol w:w="0"/>
        <w:gridCol w:w="0"/>
        <w:gridCol w:w="0"/>
        <w:gridCol w:w="0"/>
        <w:gridCol w:w="0"/>
        <w:gridCol w:w="0"/>
        <w:gridCol w:w="0"/>
      </w:tblGrid>
      <w:tr>
        <w:trPr>
          <w:trHeight w:val="360" w:hRule="auto"/>
          <w:tblHeader w:val="1"/>
        </w:trPr>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Pathway</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Source</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Z OA</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FDR OA</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Z BM-MSC</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FDR BM-MSC</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Direction</w:t>
            </w:r>
          </w:p>
        </w:tc>
      </w:tr>
      <w:tr>
        <w:trPr>
          <w:trHeight w:val="360" w:hRule="auto"/>
        </w:trPr>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REGULATION OF RNA SPLICING</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GOBP</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-4.86</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8.00e-05</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-2.94</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0.11</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Down in both</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MRNA SPLICE SITE SELECTION</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GOBP</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-4.68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1.50e-04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-3.05</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0.094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Down in both</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POSITIVE REGULATION OF RNA SPLICING</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GOBP</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-4.54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2.40e-04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-2.23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0.22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Down in both</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REGULATION OF MRNA SPLICING VIA SPLICEOSOME</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GOBP</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-3.95</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0.002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-2.67</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0.14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Down in both</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NUCLEAR TRANSCRIBED MRNA CATABOLIC PROCESS EXONUCLEOLYTIC</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GOBP</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-3.85</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0.002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-2.38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0.19</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Down in both</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NUCLEAR TRANSCRIBED MRNA CATABOLIC PROCESS DEADENYLATION DEPENDENT DECAY</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GOBP</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-3.53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0.006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-2.55</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0.15</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Down in both</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REGULATION OF ALTERNATIVE MRNA SPLICING VIA SPLICEOSOME</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GOBP</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-3.52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0.006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-2.80</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0.12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Down in both</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ALTERNATIVE MRNA SPLICING VIA SPLICEOSOME</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GOBP</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-3.40</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0.008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-2.95</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0.11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Down in both</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MRNA TRANSPORT</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GOBP</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-3.37</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0.009</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-2.20</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0.23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Down in both</w:t>
            </w:r>
          </w:p>
        </w:tc>
      </w:tr>
      <w:tr>
        <w:trPr>
          <w:trHeight w:val="360" w:hRule="auto"/>
        </w:trPr>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POSITIVE REGULATION OF MRNA METABOLIC PROCESS</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GOBP</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-3.22</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0.012</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-2.22</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0.22</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Down in both</w:t>
            </w:r>
          </w:p>
        </w:tc>
      </w:tr>
    </w:tbl>
    <w:p>
      <w:pPr>
        <w:pBdr>
          <w:top w:val="none" w:color="000000" w:sz="0" w:space="0"/>
          <w:left w:val="none" w:color="000000" w:sz="0" w:space="0"/>
          <w:bottom w:val="none" w:color="000000" w:sz="0" w:space="0"/>
          <w:right w:val="none" w:color="000000" w:sz="0" w:space="0"/>
        </w:pBdr>
        <w:spacing w:before="0" w:after="0" w:line="240"/>
        <w:ind w:left="0" w:right="0" w:firstLine="0" w:firstLineChars="0"/>
        <w:jc w:val="left"/>
      </w:pPr>
      <w:r>
        <w:rPr>
          <w:rFonts w:ascii="Calibri" w:hAnsi="Calibri" w:eastAsia="Calibri" w:cs="Calibri"/>
          <w:b w:val="0"/>
          <w:i w:val="0"/>
          <w:strike w:val="0"/>
          <w:color w:val="000000"/>
          <w:sz w:val="18"/>
          <w:szCs w:val="18"/>
          <w:u w:val="none"/>
        </w:rPr>
        <w:t>Z-scores are Stouffer-weighted meta-analytic values for OA cartilage and limma moderated statistics for the OP BM-MSC cohort. All listed pathways are down-regulated in both tissues.</w:t>
      </w:r>
    </w:p>
    <w:p>
      <w:pPr>
        <w:pStyle w:val="000003"/>
      </w:pPr>
    </w:p>
    <w:p>
      <w:pPr>
        <w:pBdr>
          <w:top w:val="none" w:color="000000" w:sz="0" w:space="0"/>
          <w:left w:val="none" w:color="000000" w:sz="0" w:space="0"/>
          <w:bottom w:val="none" w:color="000000" w:sz="0" w:space="0"/>
          <w:right w:val="none" w:color="000000" w:sz="0" w:space="0"/>
        </w:pBdr>
        <w:spacing w:before="0" w:after="0" w:line="240"/>
        <w:ind w:left="0" w:right="0" w:firstLine="0" w:firstLineChars="0"/>
        <w:jc w:val="left"/>
      </w:pPr>
      <w:r>
        <w:rPr>
          <w:rFonts w:ascii="Calibri" w:hAnsi="Calibri" w:eastAsia="Calibri" w:cs="Calibri"/>
          <w:b w:val="1"/>
          <w:i w:val="0"/>
          <w:strike w:val="0"/>
          <w:color w:val="000000"/>
          <w:sz w:val="18"/>
          <w:szCs w:val="18"/>
          <w:u w:val="none"/>
        </w:rPr>
        <w:t>Table 4. Core splicing factors down-regulated in both OA cartilage and OP BM-MSCs (n = 49).</w:t>
      </w:r>
    </w:p>
    <w:tbl>
      <w:tblPr>
        <w:tblW w:w="5000" w:type="pct"/>
        <w:jc w:val="center"/>
        <w:tblLayout w:type="autofit"/>
        <w:tblLook w:firstRow="1" w:lastRow="0" w:firstColumn="0" w:lastColumn="0" w:noHBand="0" w:noVBand="1"/>
      </w:tblPr>
      <w:tblGrid>
        <w:gridCol w:w="0"/>
        <w:gridCol w:w="0"/>
        <w:gridCol w:w="0"/>
        <w:gridCol w:w="0"/>
        <w:gridCol w:w="0"/>
      </w:tblGrid>
      <w:tr>
        <w:trPr>
          <w:trHeight w:val="360" w:hRule="auto"/>
          <w:tblHeader w:val="1"/>
        </w:trPr>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Gene</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Z (OA cartilage)</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t (OP BM-MSC)</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P (OP BM-MSC)</w:t>
            </w:r>
          </w:p>
        </w:tc>
        <w:tc>
          <w:tcPr>
            <w:tcBorders>
              <w:top w:val="single" w:color="666666" w:sz="12"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1"/>
                <w:i w:val="0"/>
                <w:strike w:val="0"/>
                <w:color w:val="000000"/>
                <w:sz w:val="17"/>
                <w:szCs w:val="17"/>
                <w:u w:val="none"/>
              </w:rPr>
            </w:pPr>
            <w:r>
              <w:rPr>
                <w:rFonts w:ascii="Arial" w:hAnsi="Arial" w:eastAsia="Arial" w:cs="Arial"/>
                <w:b w:val="1"/>
                <w:i w:val="0"/>
                <w:strike w:val="0"/>
                <w:color w:val="000000"/>
                <w:sz w:val="17"/>
                <w:szCs w:val="17"/>
                <w:u w:val="none"/>
              </w:rPr>
              <w:t>t (OP monocyte)</w:t>
            </w:r>
          </w:p>
        </w:tc>
      </w:tr>
      <w:tr>
        <w:trPr>
          <w:trHeight w:val="360" w:hRule="auto"/>
        </w:trPr>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RBM25</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-3.603</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-6.805</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1.18e-05</w:t>
            </w:r>
          </w:p>
        </w:tc>
        <w:tc>
          <w:tcPr>
            <w:tcBorders>
              <w:top w:val="single" w:color="666666" w:sz="12"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2.91</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RBM22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-3.783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-4.791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3.40e-04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-0.033</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FMR1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-2.927</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-4.52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5.59e-04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-0.496</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TRA2A</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-2.543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-4.737</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3.76e-04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-1.269</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SRPK2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-1.386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-5.612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8.08e-05</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4.116</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SF3B1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-2.117</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-4.751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3.66e-04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3.068</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HNRNPU</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-3.828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0.002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-3.823</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BCAS2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-1.691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-4.724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3.85e-04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-1.675</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SYF2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-5.722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-0.659</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0.522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0.307</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SRRM1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-3.555</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-2.703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0.018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-1.842</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QKI</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-1.415</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-4.728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3.82e-04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-0.222</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CIRBP</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-3.228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-2.639</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0.02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2.338</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RBM39</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-3.354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-2.386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0.033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0.627</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HNRNPA3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-2.654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-2.954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0.011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0.883</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RBM7</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-4.545</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-0.932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0.368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0.14</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DDX42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-3.506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-1.948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0.073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0.705</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DAZAP1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-0.883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-4.029</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0.001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-2.096</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KHDRBS1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-2.512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-2.383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0.033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-0.161</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SRPK1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-2.136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-2.523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0.025</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-0.052</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SAP18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-1.849</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-2.726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0.017</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2.176</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MBNL2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-0.314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-4.184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0.001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0.703</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SON</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-1.624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-2.805</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0.015</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0.455</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DHX15</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-1.743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-2.672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0.019</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1.542</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DYRK1A</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-0.211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-3.965</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0.002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-0.716</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SART1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-3.601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-0.54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0.598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-1.408</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CDC5L</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-2.833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-1.226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0.242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1.817</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SNW1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-2.522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-1.438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0.174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-0.169</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RBM3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-0.893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-3.046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0.011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-0.69</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SNRPA1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-2.198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-1.711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0.11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2.95</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THOC1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-2.28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-1.576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0.139</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1.631</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DDX17</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-2.049</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-1.789</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0.097</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3.145</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RBM15</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-2.599</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-1.169</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0.263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-0.445</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THOC2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-2.107</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-1.597</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0.134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2.004</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SF3A3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-1.686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-1.821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0.091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-2.625</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NCBP1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-0.928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-2.392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0.032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1.489</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SMNDC1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-2.211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-0.999</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0.336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-0.674</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RBM17</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-1.609</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-1.584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0.137</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-2.378</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PQBP1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-2.478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-0.137</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0.893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0.937</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SNRPE</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-0.914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-1.65</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0.123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-2.428</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U2AF1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-0.81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-1.725</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0.108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1.582</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RAVER2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-1.569</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-0.96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0.354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0.641</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WTAP</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-1.397</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-1.126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0.28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0.36</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CDC40</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-2.084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-0.267</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0.793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1.564</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PRPF38B</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-1.222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-0.813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0.431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-1.968</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PRPF18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-0.403</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-1.484</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0.161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-0.931</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CTNNBL1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-0.781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-0.925</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0.372</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0.381</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HSPA6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-0.746</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-0.647</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0.529</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 xml:space="preserve"> 1.79</w:t>
            </w:r>
          </w:p>
        </w:tc>
      </w:tr>
      <w:tr>
        <w:trPr>
          <w:trHeight w:val="360" w:hRule="auto"/>
        </w:trPr>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DHX8</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-0.579</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-0.477</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0.641</w:t>
            </w:r>
          </w:p>
        </w:tc>
        <w:tc>
          <w:tcPr>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0.174</w:t>
            </w:r>
          </w:p>
        </w:tc>
      </w:tr>
      <w:tr>
        <w:trPr>
          <w:trHeight w:val="360" w:hRule="auto"/>
        </w:trPr>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SNRPD1</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-0.768</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-0.131</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0.898</w:t>
            </w:r>
          </w:p>
        </w:tc>
        <w:tc>
          <w:tcPr>
            <w:tcBorders>
              <w:top w:val="none" w:color="000000" w:sz="0" w:space="0"/>
              <w:left w:val="none" w:color="000000" w:sz="0" w:space="0"/>
              <w:bottom w:val="single" w:color="666666" w:sz="12" w:space="0"/>
              <w:right w:val="none" w:color="000000" w:sz="0" w:space="0"/>
            </w:tcBorders>
            <w:shd w:val="clear" w:color="auto" w:fill="FFFFFF"/>
            <w:tcMar>
              <w:top w:w="0" w:type="dxa"/>
              <w:left w:w="0" w:type="dxa"/>
              <w:bottom w:w="0" w:type="dxa"/>
              <w:right w:w="0" w:type="dxa"/>
            </w:tcMar>
            <w:vAlign w:val="center"/>
          </w:tcPr>
          <w:p>
            <w:pPr>
              <w:pStyle w:val="000003"/>
              <w:pBdr>
                <w:top w:val="none" w:color="000000" w:sz="0" w:space="0"/>
                <w:left w:val="none" w:color="000000" w:sz="0" w:space="0"/>
                <w:bottom w:val="none" w:color="000000" w:sz="0" w:space="0"/>
                <w:right w:val="none" w:color="000000" w:sz="0" w:space="0"/>
              </w:pBdr>
              <w:spacing w:before="30" w:after="30" w:line="240"/>
              <w:ind w:left="100" w:right="100" w:firstLine="0" w:firstLineChars="0"/>
              <w:jc w:val="left"/>
              <w:rPr>
                <w:rFonts w:ascii="Arial" w:hAnsi="Arial" w:eastAsia="Arial" w:cs="Arial"/>
                <w:b w:val="0"/>
                <w:i w:val="0"/>
                <w:strike w:val="0"/>
                <w:color w:val="000000"/>
                <w:sz w:val="17"/>
                <w:szCs w:val="17"/>
                <w:u w:val="none"/>
              </w:rPr>
            </w:pPr>
            <w:r>
              <w:rPr>
                <w:rFonts w:ascii="Arial" w:hAnsi="Arial" w:eastAsia="Arial" w:cs="Arial"/>
                <w:b w:val="0"/>
                <w:i w:val="0"/>
                <w:strike w:val="0"/>
                <w:color w:val="000000"/>
                <w:sz w:val="17"/>
                <w:szCs w:val="17"/>
                <w:u w:val="none"/>
              </w:rPr>
              <w:t>-2.59</w:t>
            </w:r>
          </w:p>
        </w:tc>
      </w:tr>
    </w:tbl>
    <w:p>
      <w:pPr>
        <w:pBdr>
          <w:top w:val="none" w:color="000000" w:sz="0" w:space="0"/>
          <w:left w:val="none" w:color="000000" w:sz="0" w:space="0"/>
          <w:bottom w:val="none" w:color="000000" w:sz="0" w:space="0"/>
          <w:right w:val="none" w:color="000000" w:sz="0" w:space="0"/>
        </w:pBdr>
        <w:spacing w:before="0" w:after="0" w:line="240"/>
        <w:ind w:left="0" w:right="0" w:firstLine="0" w:firstLineChars="0"/>
        <w:jc w:val="left"/>
      </w:pPr>
      <w:r>
        <w:rPr>
          <w:rFonts w:ascii="Calibri" w:hAnsi="Calibri" w:eastAsia="Calibri" w:cs="Calibri"/>
          <w:b w:val="0"/>
          <w:i w:val="0"/>
          <w:strike w:val="0"/>
          <w:color w:val="000000"/>
          <w:sz w:val="18"/>
          <w:szCs w:val="18"/>
          <w:u w:val="none"/>
        </w:rPr>
        <w:t>Genes are ordered by combined effect. The final column shows the same genes in OP circulating monocytes, where 11 of 49 (22%) were concordantly down-regulated across both cohorts (GSE56815: 22/49 down; GSE7158: 27/49 down); none of these departures differed from chance (binomial P = 0.74 for concordance).</w:t>
      </w:r>
    </w:p>
    <w:p>
      <w:pPr>
        <w:pStyle w:val="000003"/>
      </w:pPr>
    </w:p>
    <w:p>
      <w:r>
        <w:br w:type="page"/>
      </w:r>
    </w:p>
    <w:p>
      <w:pPr>
        <w:pStyle w:val="000008"/>
      </w:pPr>
      <w:r>
        <w:t>References</w:t>
      </w:r>
    </w:p>
    <w:p>
      <w:pPr>
        <w:pStyle w:val="000003"/>
      </w:pPr>
      <w:r>
        <w:t>1. Hart DJ, Mootoosamy I, Doyle DV, Spector TD. The relationship between osteoarthritis and osteoporosis in the general population: the Chingford Study. Annals of the rheumatic diseases. 1994. doi:10.1136/ard.53.3.158.</w:t>
      </w:r>
    </w:p>
    <w:p>
      <w:pPr>
        <w:pStyle w:val="000003"/>
      </w:pPr>
      <w:r>
        <w:t>2. Hartley A, Sanderson E, Granell R, Paternoster L, Zheng J, Smith GD, Southam L, Hatzikotoulas K, Boer CG, van Meurs J, Zeggini E, Genetics of Osteoarthritis Consortium, Gregson CL, Tobias JH. Using multivariable Mendelian randomization to estimate the causal effect of bone mineral density on osteoarthritis risk, independently of body mass index. International journal of epidemiology. 2022. doi:10.1093/ije/dyab251.</w:t>
      </w:r>
    </w:p>
    <w:p>
      <w:pPr>
        <w:pStyle w:val="000003"/>
      </w:pPr>
      <w:r>
        <w:t>3. Peng L, Wei J, Yang H, Qin J, Li Q. Deciphering the RSPO3-NFATC1 switch in the bone-cartilage paradox: Genetic liability to osteoporosis protects against osteoarthritis by modulating subchondral bone compliance. Osteoarthritis and cartilage. 2026. doi:10.1016/j.joca.2026.05.013.</w:t>
      </w:r>
    </w:p>
    <w:p>
      <w:pPr>
        <w:pStyle w:val="000003"/>
      </w:pPr>
      <w:r>
        <w:t>4. Morris JA, Kemp JP, Youlten SE, Laurent L, Logan JG, Chai RC, Vulpescu NA, Forgetta V, Kleinman A, Mohanty ST, Sergio CM, Quinn J, Nguyen-Yamamoto L, Luco AL, Vijay J, Simon MM, Pramatarova A, Medina-Gomez C, Trajanoska K, Ghirardello EJ, Butterfield NC, Curry KF, Leitch VD, Sparkes PC, Adoum AT, Mannan NS, Komla-Ebri DSK, Pollard AS, Dewhurst HF, Hassall TAD, Beltejar MG, 23andMe Research Team, Adams DJ, Vaillancourt SM, Kaptoge S, Baldock P, Cooper C, Reeve J, Ntzani EE, Evangelou E, Ohlsson C, Karasik D, Rivadeneira F, Kiel DP, Tobias JH, Gregson CL, Harvey NC, Grundberg E, Goltzman D, Adams DJ, Lelliott CJ, Hinds DA, Ackert-Bicknell CL, Hsu YH, Maurano MT, Croucher PI, Williams GR, Bassett JHD, Evans DM, Richards JB. An atlas of genetic influences on osteoporosis in humans and mice. Nature genetics. 2019. doi:10.1038/s41588-018-0302-x.</w:t>
      </w:r>
    </w:p>
    <w:p>
      <w:pPr>
        <w:pStyle w:val="000003"/>
      </w:pPr>
      <w:r>
        <w:t>5. Tachmazidou I, Hatzikotoulas K, Southam L, Esparza-Gordillo J, Haberland V, Zheng J, Johnson T, Koprulu M, Zengini E, Steinberg J, Wilkinson JM, Bhatnagar S, Hoffman JD, Buchan N, Süveges D, arcOGEN Consortium, Yerges-Armstrong L, Smith GD, Gaunt TR, Scott RA, McCarthy LC, Zeggini E. Identification of new therapeutic targets for osteoarthritis through genome-wide analyses of UK Biobank data. Nature genetics. 2019. doi:10.1038/s41588-018-0327-1.</w:t>
      </w:r>
    </w:p>
    <w:p>
      <w:pPr>
        <w:pStyle w:val="000003"/>
      </w:pPr>
      <w:r>
        <w:t>6. Chen K, Zhu P, Chu M, Tao H, Wang Q, Lv S, Huang L, Geng D. What do osteoporosis and osteoarthritis have in common? An integrated study of overlapping differentially expressed genes in bone mesenchymal stem cells of osteoporosis and osteoarthritis. Gene. 2024. doi:10.1016/j.gene.2023.147914.</w:t>
      </w:r>
    </w:p>
    <w:p>
      <w:pPr>
        <w:pStyle w:val="000003"/>
      </w:pPr>
      <w:r>
        <w:t>7. Wang C, Ran D, Li W, Yang C, Li W. Multimodal analysis investigating the shared pathogenic mechanisms of osteoporosis and osteoarthritis with an initial exploration of the role of ferroptosis. PloS one. 2025. doi:10.1371/journal.pone.0332769.</w:t>
      </w:r>
    </w:p>
    <w:p>
      <w:pPr>
        <w:pStyle w:val="000003"/>
      </w:pPr>
      <w:r>
        <w:t>8. Jiang K, Du J, Yang P, Lin L, Liu J, Qiao Y, Yang H, Geng D, Li K. Targeting Osteoporosis-Osteoarthritis Comorbidity: Multi-Omics Identification of SON and Exploration of Therapeutic Agents. International journal of molecular sciences. 2026. doi:10.3390/ijms27114905.</w:t>
      </w:r>
    </w:p>
    <w:p>
      <w:pPr>
        <w:pStyle w:val="000003"/>
      </w:pPr>
      <w:r>
        <w:t>9. Benisch P, Schilling T, Klein-Hitpass L, Frey SP, Seefried L, Raaijmakers N, Krug M, Regensburger M, Zeck S, Schinke T, Amling M, Ebert R, Jakob F. The transcriptional profile of mesenchymal stem cell populations in primary osteoporosis is distinct and shows overexpression of osteogenic inhibitors. PloS one. 2012. doi:10.1371/journal.pone.0045142.</w:t>
      </w:r>
    </w:p>
    <w:p>
      <w:pPr>
        <w:pStyle w:val="000003"/>
      </w:pPr>
      <w:r>
        <w:t>10. Fujikawa Y, Quinn JM, Sabokbar A, McGee JO, Athanasou NA. The human osteoclast precursor circulates in the monocyte fraction. Endocrinology. 1996. doi:10.1210/endo.137.9.8756585.</w:t>
      </w:r>
    </w:p>
    <w:p>
      <w:pPr>
        <w:pStyle w:val="000003"/>
      </w:pPr>
      <w:r>
        <w:t>11. Harries LW, Hernandez D, Henley W, Wood AR, Holly AC, Bradley-Smith RM, Yaghootkar H, Dutta A, Murray A, Frayling TM, Guralnik JM, Bandinelli S, Singleton A, Ferrucci L, Melzer D. Human aging is characterized by focused changes in gene expression and deregulation of alternative splicing. Aging cell. 2011. doi:10.1111/j.1474-9726.2011.00726.x.</w:t>
      </w:r>
    </w:p>
    <w:p>
      <w:pPr>
        <w:pStyle w:val="000003"/>
      </w:pPr>
      <w:r>
        <w:t>12. Tang Y, Horikawa I, Ajiro M, Robles AI, Fujita K, Mondal AM, Stauffer JK, Zheng ZM, Harris CC. Downregulation of splicing factor SRSF3 induces p53β, an alternatively spliced isoform of p53 that promotes cellular senescence. Oncogene. 2013. doi:10.1038/onc.2012.288.</w:t>
      </w:r>
    </w:p>
    <w:p>
      <w:pPr>
        <w:pStyle w:val="000003"/>
      </w:pPr>
      <w:r>
        <w:t>13. Tian C, Huang Y, Li Q, Feng Z, Xu Q. Mettl3 Regulates Osteogenic Differentiation and Alternative Splicing of Vegfa in Bone Marrow Mesenchymal Stem Cells. International journal of molecular sciences. 2019. doi:10.3390/ijms20030551.</w:t>
      </w:r>
    </w:p>
    <w:p>
      <w:pPr>
        <w:pStyle w:val="000003"/>
      </w:pPr>
      <w:r>
        <w:t>14. Fisch KM, Gamini R, Alvarez-Garcia O, Akagi R, Saito M, Muramatsu Y, Sasho T, Koziol JA, Su AI, Lotz MK. Identification of transcription factors responsible for dysregulated networks in human osteoarthritis cartilage by global gene expression analysis. Osteoarthritis and cartilage. 2018. doi:10.1016/j.joca.2018.07.012.</w:t>
      </w:r>
    </w:p>
    <w:p>
      <w:pPr>
        <w:pStyle w:val="000003"/>
      </w:pPr>
      <w:r>
        <w:t>15. Langfelder P, Horvath S. WGCNA: an R package for weighted correlation network analysis. BMC bioinformatics. 2008. doi:10.1186/1471-2105-9-559.</w:t>
      </w:r>
    </w:p>
    <w:p>
      <w:pPr>
        <w:pStyle w:val="000003"/>
      </w:pPr>
      <w:r>
        <w:t>16. Hänzelmann S, Castelo R, Guinney J. GSVA: gene set variation analysis for microarray and RNA-seq data. BMC bioinformatics. 2013. doi:10.1186/1471-2105-14-7.</w:t>
      </w:r>
    </w:p>
    <w:p>
      <w:pPr>
        <w:pStyle w:val="000003"/>
      </w:pPr>
      <w:r>
        <w:t>17. Sun Z, Yan M, Wang J, Zhang H, Ji X, Xiao Y, Wang T, Yu T. Single-cell RNA sequencing reveals different chondrocyte states in femoral cartilage between osteoarthritis and healthy individuals. Frontiers in immunology. 2024. doi:10.3389/fimmu.2024.1407679.</w:t>
      </w:r>
    </w:p>
    <w:p>
      <w:pPr>
        <w:pStyle w:val="000003"/>
      </w:pPr>
      <w:r>
        <w:t>18. Ahn EY, DeKelver RC, Lo MC, Nguyen TA, Matsuura S, Boyapati A, Pandit S, Fu XD, Zhang DE. SON controls cell-cycle progression by coordinated regulation of RNA splicing. Molecular cell. 2011. doi:10.1016/j.molcel.2011.03.014.</w:t>
      </w:r>
    </w:p>
    <w:p>
      <w:pPr>
        <w:pStyle w:val="000003"/>
      </w:pPr>
      <w:r>
        <w:t>19. Tian W, Hu SY, Dong SS, Wang C, Zhang JQ, Jiang F, Yang Z, Yang TL, Guo Y. Genetic alternative splicing regulation mapping of cartilage and synovium reveals tissue-specific mechanisms of joint-related traits. Nature communications. 2026. doi:10.1038/s41467-026-70419-x.</w:t>
      </w:r>
    </w:p>
    <w:p>
      <w:pPr>
        <w:pStyle w:val="000003"/>
      </w:pPr>
      <w:r>
        <w:t>20. Byun S, Shine J, Coryell P, Kramer NE, D'Costa S, Thulson E, Parkus SM, Chubinskaya S, Loeser RF, Diekman BO, Phanstiel DH. Response splicing quantitative trait loci in primary human chondrocytes identify putative osteoarthritis risk genes. Nature communications. 2025. doi:10.1038/s41467-025-63299-0.</w:t>
      </w:r>
    </w:p>
    <w:p>
      <w:pPr>
        <w:pStyle w:val="000003"/>
      </w:pPr>
      <w:r>
        <w:t>21. Johnson WE, Li C, Rabinovic A. Adjusting batch effects in microarray expression data using empirical Bayes methods. Biostatistics (Oxford, England). 2007. doi:10.1093/biostatistics/kxj037.</w:t>
      </w:r>
    </w:p>
    <w:p>
      <w:pPr>
        <w:pStyle w:val="000003"/>
      </w:pPr>
      <w:r>
        <w:t>22. Ritchie ME, Phipson B, Wu D, Hu Y, Law CW, Shi W, Smyth GK. limma powers differential expression analyses for RNA-sequencing and microarray studies. Nucleic acids research. 2015. doi:10.1093/nar/gkv007.</w:t>
      </w:r>
    </w:p>
    <w:p>
      <w:pPr>
        <w:pStyle w:val="000003"/>
      </w:pPr>
      <w:r>
        <w:t>23. Benjamini Y, Hochberg Y. Controlling the False Discovery Rate: A Practical and Powerful Approach to Multiple Testing. Journal of the Royal Statistical Society Series B: Statistical Methodology. 1995. doi:10.1111/j.2517-6161.1995.tb02031.x.</w:t>
      </w:r>
    </w:p>
    <w:p>
      <w:pPr>
        <w:pStyle w:val="000003"/>
      </w:pPr>
      <w:r>
        <w:t>24. Hao Y, Hao S, Andersen-Nissen E, Mauck WM, Zheng S, Butler A, Lee MJ, Wilk AJ, Darby C, Zager M, Hoffman P, Stoeckius M, Papalexi E, Mimitou EP, Jain J, Srivastava A, Stuart T, Fleming LM, Yeung B, Rogers AJ, McElrath JM, Blish CA, Gottardo R, Smibert P, Satija R. Integrated analysis of multimodal single-cell data. Cell. 2021. doi:10.1016/j.cell.2021.04.048.</w:t>
      </w:r>
    </w:p>
    <w:p>
      <w:pPr>
        <w:pStyle w:val="000003"/>
      </w:pPr>
      <w:r>
        <w:t>25. Friedman J, Hastie T, Tibshirani R. Regularization Paths for Generalized Linear Models via Coordinate Descent. Journal of statistical software. 2010. PMID:20808728.</w:t>
      </w:r>
    </w:p>
    <w:p>
      <w:pPr>
        <w:pStyle w:val="000003"/>
      </w:pPr>
      <w:r>
        <w:t>26. Robin X, Turck N, Hainard A, Tiberti N, Lisacek F, Sanchez JC, Müller M. pROC: an open-source package for R and S+ to analyze and compare ROC curves. BMC bioinformatics. 2011. doi:10.1186/1471-2105-12-77.</w:t>
      </w:r>
    </w:p>
    <w:p>
      <w:pPr>
        <w:pStyle w:val="000003"/>
      </w:pPr>
    </w:p>
    <w:p>
      <w:pPr>
        <w:pBdr>
          <w:top w:val="none" w:color="000000" w:sz="0" w:space="0"/>
          <w:left w:val="none" w:color="000000" w:sz="0" w:space="0"/>
          <w:bottom w:val="none" w:color="000000" w:sz="0" w:space="0"/>
          <w:right w:val="none" w:color="000000" w:sz="0" w:space="0"/>
        </w:pBdr>
        <w:spacing w:before="0" w:after="0" w:line="240"/>
        <w:ind w:left="0" w:right="0" w:firstLine="0" w:firstLineChars="0"/>
        <w:jc w:val="left"/>
      </w:pPr>
      <w:r>
        <w:rPr>
          <w:rFonts w:ascii="Calibri" w:hAnsi="Calibri" w:eastAsia="Calibri" w:cs="Calibri"/>
          <w:b w:val="0"/>
          <w:i w:val="0"/>
          <w:strike w:val="0"/>
          <w:color w:val="000000"/>
          <w:sz w:val="18"/>
          <w:szCs w:val="18"/>
          <w:u w:val="none"/>
        </w:rPr>
        <w:t>Additional verified references not cited in the current draft (n = 28): available in references_verified.csv.</w:t>
      </w:r>
    </w:p>
    <w:sectPr w:rsidR="001379FE" w:rsidSect="00747CCE">
      <w:type w:val="continuous"/>
      <w:pgSz w:w="11900" w:h="16840"/>
      <w:pgMar w:top="1417" w:right="1417" w:bottom="1417" w:left="1417" w:header="708" w:footer="708" w:gutter="0"/>
      <w:cols w:space="708"/>
      <w:docGrid w:linePitch="360"/>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MS Gothic">
    <w:altName w:val="ＭＳ ゴシック"/>
    <w:panose1 w:val="020B0609070205080204"/>
    <w:charset w:val="80" w:characterSet="ISO-8859-1"/>
    <w:family w:val="modern"/>
    <w:notTrueType w:val="1"/>
    <w:pitch w:val="fixed"/>
    <w:sig w:usb0="00000001" w:usb1="08070000" w:usb2="00000010" w:usb3="00000000" w:csb0="00020000" w:csb1="00000000"/>
  </w:font>
  <w:font w:name="MS Mincho">
    <w:altName w:val="ＭＳ 明朝"/>
    <w:panose1 w:val="02020609040205080304"/>
    <w:charset w:val="80" w:characterSet="ISO-8859-1"/>
    <w:family w:val="roman"/>
    <w:notTrueType w:val="1"/>
    <w:pitch w:val="fixed"/>
    <w:sig w:usb0="00000001" w:usb1="08070000" w:usb2="00000010" w:usb3="00000000" w:csb0="00020000" w:csb1="00000000"/>
  </w:font>
  <w:font w:name="Cambria">
    <w:panose1 w:val="02040503050406030204"/>
    <w:charset w:val="00" w:characterSet="ISO-8859-1"/>
    <w:family w:val="roman"/>
    <w:pitch w:val="variable"/>
    <w:sig w:usb0="E00002FF" w:usb1="400004FF" w:usb2="00000000" w:usb3="00000000" w:csb0="0000019F" w:csb1="00000000"/>
  </w:font>
  <w:font w:name="Calibri">
    <w:panose1 w:val="020F0502020204030204"/>
    <w:charset w:val="00" w:characterSet="ISO-8859-1"/>
    <w:family w:val="swiss"/>
    <w:pitch w:val="variable"/>
    <w:sig w:usb0="E0002AFF" w:usb1="C000247B" w:usb2="00000009" w:usb3="00000000" w:csb0="000001FF" w:csb1="00000000"/>
  </w:font>
  <w:font w:name="Lucida Grande">
    <w:panose1 w:val="020B0600040502020204"/>
    <w:charset w:val="00" w:characterSet="ISO-8859-1"/>
    <w:family w:val="auto"/>
    <w:pitch w:val="variable"/>
    <w:sig w:usb0="E1000AEF" w:usb1="5000A1FF" w:usb2="00000000" w:usb3="00000000" w:csb0="000001BF" w:csb1="00000000"/>
  </w:font>
</w:fonts>
</file>

<file path=word/settings.xml><?xml version="1.0" encoding="utf-8"?>
<w:settings xmlns:w="http://schemas.openxmlformats.org/wordprocessingml/2006/main">
  <w:zoom w:percent="180"/>
  <w:defaultTabStop w:val="708"/>
  <w:hyphenationZone w:val="425"/>
  <w:evenAndOddHeaders w:val="0"/>
  <w:characterSpacingControl w:val="doNotCompress"/>
  <w:compat>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index 2" w:semiHidden="1" w:unhideWhenUsed="1"/>
    <w:lsdException w:name="Colorful List Accent 4" w:uiPriority="72"/>
    <w:lsdException w:name="toc 7" w:uiPriority="39" w:semiHidden="1" w:unhideWhenUsed="1"/>
    <w:lsdException w:name="List Bullet 2" w:semiHidden="1" w:unhideWhenUsed="1"/>
    <w:lsdException w:name="Colorful Grid Accent 5" w:uiPriority="73"/>
    <w:lsdException w:name="Light List Accent 4" w:uiPriority="61"/>
    <w:lsdException w:name="List Table 2 Accent 5" w:uiPriority="47"/>
    <w:lsdException w:name="HTML Keyboard" w:semiHidden="1" w:unhideWhenUsed="1"/>
    <w:lsdException w:name="Table Web 1" w:semiHidden="1" w:unhideWhenUsed="1"/>
    <w:lsdException w:name="Medium List 2 Accent 3" w:uiPriority="66"/>
    <w:lsdException w:name="Grid Table 6 Colorful Accent 6" w:uiPriority="51"/>
    <w:lsdException w:name="Body Text Indent 2" w:semiHidden="1" w:unhideWhenUsed="1"/>
    <w:lsdException w:name="Dark List Accent 1" w:uiPriority="70"/>
    <w:lsdException w:name="index 8" w:semiHidden="1" w:unhideWhenUsed="1"/>
    <w:lsdException w:name="Closing" w:semiHidden="1" w:unhideWhenUsed="1"/>
    <w:lsdException w:name="Colorful Shading" w:uiPriority="71"/>
    <w:lsdException w:name="HTML Typewriter" w:semiHidden="1" w:unhideWhenUsed="1"/>
    <w:lsdException w:name="Grid Table 3 Accent 2" w:uiPriority="48"/>
    <w:lsdException w:name="Grid Table 1 Light Accent 2" w:uiPriority="46"/>
    <w:lsdException w:name="Medium List 2" w:uiPriority="66"/>
    <w:lsdException w:name="Table Columns 2" w:semiHidden="1" w:unhideWhenUsed="1"/>
    <w:lsdException w:name="Mention" w:semiHidden="1" w:unhideWhenUsed="1"/>
    <w:lsdException w:name="List Table 5 Dark Accent 5" w:uiPriority="50"/>
    <w:lsdException w:name="List Bullet 3" w:semiHidden="1" w:unhideWhenUsed="1"/>
    <w:lsdException w:name="List Table 7 Colorful Accent 3" w:uiPriority="52"/>
    <w:lsdException w:name="Medium Grid 2" w:uiPriority="68"/>
    <w:lsdException w:name="Strong" w:uiPriority="22" w:qFormat="1"/>
    <w:lsdException w:name="footer" w:semiHidden="1" w:unhideWhenUsed="1"/>
    <w:lsdException w:name="List Table 3 Accent 6" w:uiPriority="48"/>
    <w:lsdException w:name="Table Web 3" w:semiHidden="1" w:unhideWhenUsed="1"/>
    <w:lsdException w:name="Table List 5" w:semiHidden="1" w:unhideWhenUsed="1"/>
    <w:lsdException w:name="List Table 3" w:uiPriority="48"/>
    <w:lsdException w:name="toc 3" w:uiPriority="39" w:semiHidden="1" w:unhideWhenUsed="1"/>
    <w:lsdException w:name="List Table 3 Accent 3" w:uiPriority="48"/>
    <w:lsdException w:name="index 6" w:semiHidden="1" w:unhideWhenUsed="1"/>
    <w:lsdException w:name="Table List 1" w:semiHidden="1" w:unhideWhenUsed="1"/>
    <w:lsdException w:name="Light Shading Accent 5" w:uiPriority="60"/>
    <w:lsdException w:name="Grid Table 3 Accent 5" w:uiPriority="48"/>
    <w:lsdException w:name="Outline List 2" w:semiHidden="1" w:unhideWhenUsed="1"/>
    <w:lsdException w:name="Colorful Grid Accent 6" w:uiPriority="73"/>
    <w:lsdException w:name="Normal Indent" w:semiHidden="1" w:unhideWhenUsed="1"/>
    <w:lsdException w:name="Table Theme" w:semiHidden="1" w:unhideWhenUsed="1"/>
    <w:lsdException w:name="Medium Shading 2" w:uiPriority="64"/>
    <w:lsdException w:name="List Table 4 Accent 1" w:uiPriority="49"/>
    <w:lsdException w:name="List Table 1 Light Accent 6" w:uiPriority="46"/>
    <w:lsdException w:name="List Bullet" w:semiHidden="1" w:unhideWhenUsed="1"/>
    <w:lsdException w:name="Grid Table 1 Light Accent 1" w:uiPriority="46"/>
    <w:lsdException w:name="Colorful List Accent 6" w:uiPriority="72"/>
    <w:lsdException w:name="Table List 3" w:semiHidden="1" w:unhideWhenUsed="1"/>
    <w:lsdException w:name="toc 9" w:uiPriority="39" w:semiHidden="1" w:unhideWhenUsed="1"/>
    <w:lsdException w:name="Grid Table 6 Colorful Accent 1" w:uiPriority="51"/>
    <w:lsdException w:name="Grid Table 6 Colorful" w:uiPriority="51"/>
    <w:lsdException w:name="Message Header" w:semiHidden="1" w:unhideWhenUsed="1"/>
    <w:lsdException w:name="Medium Grid 3 Accent 1" w:uiPriority="69"/>
    <w:lsdException w:name="List Number" w:semiHidden="1" w:unhideWhenUsed="1"/>
    <w:lsdException w:name="HTML Address" w:semiHidden="1" w:unhideWhenUsed="1"/>
    <w:lsdException w:name="Grid Table 3 Accent 4" w:uiPriority="48"/>
    <w:lsdException w:name="Grid Table 4 Accent 6" w:uiPriority="49"/>
    <w:lsdException w:name="heading 7" w:uiPriority="9" w:semiHidden="1" w:unhideWhenUsed="1" w:qFormat="1"/>
    <w:lsdException w:name="List Continue 4" w:semiHidden="1" w:unhideWhenUsed="1"/>
    <w:lsdException w:name="index heading" w:semiHidden="1" w:unhideWhenUsed="1"/>
    <w:lsdException w:name="Medium Grid 1 Accent 5" w:uiPriority="67"/>
    <w:lsdException w:name="Body Text First Indent 2" w:semiHidden="1" w:unhideWhenUsed="1"/>
    <w:lsdException w:name="Table Columns 3" w:semiHidden="1" w:unhideWhenUsed="1"/>
    <w:lsdException w:name="Medium Shading 1" w:uiPriority="63"/>
    <w:lsdException w:name="Hashtag" w:semiHidden="1" w:unhideWhenUsed="1"/>
    <w:lsdException w:name="heading 1" w:uiPriority="9" w:qFormat="1"/>
    <w:lsdException w:name="Revision" w:semiHidden="1"/>
    <w:lsdException w:name="Grid Table 2 Accent 5" w:uiPriority="47"/>
    <w:lsdException w:name="Light Shading Accent 1" w:uiPriority="60"/>
    <w:lsdException w:name="List Table 4" w:uiPriority="49"/>
    <w:lsdException w:name="List Table 1 Light Accent 5" w:uiPriority="46"/>
    <w:lsdException w:name="Table Grid 1" w:semiHidden="1" w:unhideWhenUsed="1"/>
    <w:lsdException w:name="List Table 5 Dark Accent 6" w:uiPriority="50"/>
    <w:lsdException w:name="Body Text 2" w:semiHidden="1" w:unhideWhenUsed="1"/>
    <w:lsdException w:name="List Table 7 Colorful Accent 4" w:uiPriority="52"/>
    <w:lsdException w:name="Title" w:uiPriority="10" w:qFormat="1"/>
    <w:lsdException w:name="Grid Table 7 Colorful Accent 1" w:uiPriority="52"/>
    <w:lsdException w:name="Medium Shading 2 Accent 6" w:uiPriority="64"/>
    <w:lsdException w:name="Medium List 2 Accent 2" w:uiPriority="66"/>
    <w:lsdException w:name="Table Professional" w:semiHidden="1" w:unhideWhenUsed="1"/>
    <w:lsdException w:name="Subtle Emphasis" w:uiPriority="19" w:qFormat="1"/>
    <w:lsdException w:name="List 2" w:semiHidden="1" w:unhideWhenUsed="1"/>
    <w:lsdException w:name="index 9" w:semiHidden="1" w:unhideWhenUsed="1"/>
    <w:lsdException w:name="envelope address" w:semiHidden="1" w:unhideWhenUsed="1"/>
    <w:lsdException w:name="Light Shading Accent 2" w:uiPriority="60"/>
    <w:lsdException w:name="Table 3D effects 2" w:semiHidden="1" w:unhideWhenUsed="1"/>
    <w:lsdException w:name="Medium List 2 Accent 4" w:uiPriority="66"/>
    <w:lsdException w:name="Table Grid 2" w:semiHidden="1" w:unhideWhenUsed="1"/>
    <w:lsdException w:name="Table Simple 2" w:semiHidden="1" w:unhideWhenUsed="1"/>
    <w:lsdException w:name="Table Grid 3" w:semiHidden="1" w:unhideWhenUsed="1"/>
    <w:lsdException w:name="Table Colorful 1" w:semiHidden="1" w:unhideWhenUsed="1"/>
    <w:lsdException w:name="Grid Table 5 Dark Accent 6" w:uiPriority="50"/>
    <w:lsdException w:name="List Table 5 Dark Accent 4" w:uiPriority="50"/>
    <w:lsdException w:name="HTML Definition" w:semiHidden="1" w:unhideWhenUsed="1"/>
    <w:lsdException w:name="Table Columns 4" w:semiHidden="1" w:unhideWhenUsed="1"/>
    <w:lsdException w:name="List Table 2 Accent 4" w:uiPriority="47"/>
    <w:lsdException w:name="Colorful Shading Accent 4" w:uiPriority="71"/>
    <w:lsdException w:name="List Number 2" w:semiHidden="1" w:unhideWhenUsed="1"/>
    <w:lsdException w:name="Light Grid Accent 4" w:uiPriority="62"/>
    <w:lsdException w:name="Medium Grid 1 Accent 1" w:uiPriority="67"/>
    <w:lsdException w:name="Grid Table 7 Colorful Accent 5" w:uiPriority="52"/>
    <w:lsdException w:name="Dark List" w:uiPriority="70"/>
    <w:lsdException w:name="List Table 5 Dark Accent 2" w:uiPriority="50"/>
    <w:lsdException w:name="List Table 6 Colorful Accent 6" w:uiPriority="51"/>
    <w:lsdException w:name="Colorful List Accent 5" w:uiPriority="72"/>
    <w:lsdException w:name="macro" w:semiHidden="1" w:unhideWhenUsed="1"/>
    <w:lsdException w:name="Block Text" w:semiHidden="1" w:unhideWhenUsed="1"/>
    <w:lsdException w:name="header" w:semiHidden="1" w:unhideWhenUsed="1"/>
    <w:lsdException w:name="Light Grid Accent 3" w:uiPriority="62"/>
    <w:lsdException w:name="Plain Text" w:semiHidden="1" w:unhideWhenUsed="1"/>
    <w:lsdException w:name="Light List Accent 1" w:uiPriority="61"/>
    <w:lsdException w:name="Grid Table 6 Colorful Accent 2" w:uiPriority="51"/>
    <w:lsdException w:name="Light Grid Accent 5" w:uiPriority="62"/>
    <w:lsdException w:name="List Table 2 Accent 1" w:uiPriority="47"/>
    <w:lsdException w:name="List Continue 2" w:semiHidden="1" w:unhideWhenUsed="1"/>
    <w:lsdException w:name="Table Web 2" w:semiHidden="1" w:unhideWhenUsed="1"/>
    <w:lsdException w:name="Table Columns 5" w:semiHidden="1" w:unhideWhenUsed="1"/>
    <w:lsdException w:name="Light List Accent 5" w:uiPriority="61"/>
    <w:lsdException w:name="List Continue" w:semiHidden="1" w:unhideWhenUsed="1"/>
    <w:lsdException w:name="page number" w:semiHidden="1" w:unhideWhenUsed="1"/>
    <w:lsdException w:name="Medium Grid 1 Accent 3" w:uiPriority="67"/>
    <w:lsdException w:name="index 3" w:semiHidden="1" w:unhideWhenUsed="1"/>
    <w:lsdException w:name="Medium Shading 1 Accent 3" w:uiPriority="63"/>
    <w:lsdException w:name="Note Heading" w:semiHidden="1" w:unhideWhenUsed="1"/>
    <w:lsdException w:name="Light List" w:uiPriority="61"/>
    <w:lsdException w:name="List Table 3 Accent 2" w:uiPriority="48"/>
    <w:lsdException w:name="Colorful Grid Accent 1" w:uiPriority="73"/>
    <w:lsdException w:name="line number" w:semiHidden="1" w:unhideWhenUsed="1"/>
    <w:lsdException w:name="Table Grid" w:uiPriority="59"/>
    <w:lsdException w:name="List Table 7 Colorful Accent 2" w:uiPriority="52"/>
    <w:lsdException w:name="List Table 4 Accent 4" w:uiPriority="49"/>
    <w:lsdException w:name="Table Classic 3" w:semiHidden="1" w:unhideWhenUsed="1"/>
    <w:lsdException w:name="Colorful Shading Accent 5" w:uiPriority="71"/>
    <w:lsdException w:name="caption" w:uiPriority="35" w:semiHidden="1" w:unhideWhenUsed="1" w:qFormat="1"/>
    <w:lsdException w:name="Medium Grid 2 Accent 2" w:uiPriority="68"/>
    <w:lsdException w:name="Colorful List Accent 1" w:uiPriority="72"/>
    <w:lsdException w:name="HTML Acronym" w:semiHidden="1" w:unhideWhenUsed="1"/>
    <w:lsdException w:name="Balloon Text" w:semiHidden="1" w:unhideWhenUsed="1"/>
    <w:lsdException w:name="toc 4" w:uiPriority="39" w:semiHidden="1" w:unhideWhenUsed="1"/>
    <w:lsdException w:name="index 1" w:semiHidden="1" w:unhideWhenUsed="1"/>
    <w:lsdException w:name="Medium List 1 Accent 1" w:uiPriority="65"/>
    <w:lsdException w:name="toa heading" w:semiHidden="1" w:unhideWhenUsed="1"/>
    <w:lsdException w:name="Table List 2" w:semiHidden="1" w:unhideWhenUsed="1"/>
    <w:lsdException w:name="Colorful Grid Accent 2" w:uiPriority="73"/>
    <w:lsdException w:name="Body Text First Indent" w:semiHidden="1" w:unhideWhenUsed="1"/>
    <w:lsdException w:name="table of authorities" w:semiHidden="1" w:unhideWhenUsed="1"/>
    <w:lsdException w:name="List Table 4 Accent 5" w:uiPriority="49"/>
    <w:lsdException w:name="Grid Table 1 Light Accent 5" w:uiPriority="46"/>
    <w:lsdException w:name="heading 6" w:uiPriority="9" w:semiHidden="1" w:unhideWhenUsed="1" w:qFormat="1"/>
    <w:lsdException w:name="Default Paragraph Font" w:uiPriority="1" w:semiHidden="1" w:unhideWhenUsed="1"/>
    <w:lsdException w:name="List" w:semiHidden="1" w:unhideWhenUsed="1"/>
    <w:lsdException w:name="Colorful List Accent 2" w:uiPriority="72"/>
    <w:lsdException w:name="endnote reference" w:semiHidden="1" w:unhideWhenUsed="1"/>
    <w:lsdException w:name="Table List 8" w:semiHidden="1" w:unhideWhenUsed="1"/>
    <w:lsdException w:name="Light Shading Accent 3" w:uiPriority="60"/>
    <w:lsdException w:name="Emphasis" w:uiPriority="20" w:qFormat="1"/>
    <w:lsdException w:name="Table List 6" w:semiHidden="1" w:unhideWhenUsed="1"/>
    <w:lsdException w:name="Medium List 1 Accent 5" w:uiPriority="65"/>
    <w:lsdException w:name="Table Subtle 2" w:semiHidden="1" w:unhideWhenUsed="1"/>
    <w:lsdException w:name="Grid Table 3 Accent 1" w:uiPriority="48"/>
    <w:lsdException w:name="toc 5" w:uiPriority="39" w:semiHidden="1" w:unhideWhenUsed="1"/>
    <w:lsdException w:name="annotation subject" w:semiHidden="1" w:unhideWhenUsed="1"/>
    <w:lsdException w:name="Medium List 1" w:uiPriority="65"/>
    <w:lsdException w:name="List Table 7 Colorful Accent 6" w:uiPriority="52"/>
    <w:lsdException w:name="Salutation" w:semiHidden="1" w:unhideWhenUsed="1"/>
    <w:lsdException w:name="Medium Shading 2 Accent 1" w:uiPriority="64"/>
    <w:lsdException w:name="Book Title" w:uiPriority="33" w:qFormat="1"/>
    <w:lsdException w:name="Medium Grid 3 Accent 6" w:uiPriority="69"/>
    <w:lsdException w:name="List Bullet 4" w:semiHidden="1" w:unhideWhenUsed="1"/>
    <w:lsdException w:name="List Table 1 Light Accent 4" w:uiPriority="46"/>
    <w:lsdException w:name="Medium Shading 1 Accent 2" w:uiPriority="63"/>
    <w:lsdException w:name="Grid Table 2 Accent 1" w:uiPriority="47"/>
    <w:lsdException w:name="heading 8" w:uiPriority="9" w:semiHidden="1" w:unhideWhenUsed="1" w:qFormat="1"/>
    <w:lsdException w:name="Smart Link" w:semiHidden="1" w:unhideWhenUsed="1"/>
    <w:lsdException w:name="Outline List 3" w:semiHidden="1" w:unhideWhenUsed="1"/>
    <w:lsdException w:name="Table Grid 5" w:semiHidden="1" w:unhideWhenUsed="1"/>
    <w:lsdException w:name="Table Grid 8" w:semiHidden="1" w:unhideWhenUsed="1"/>
    <w:lsdException w:name="HTML Top of Form" w:semiHidden="1" w:unhideWhenUsed="1"/>
    <w:lsdException w:name="Body Text Indent 3" w:semiHidden="1" w:unhideWhenUsed="1"/>
    <w:lsdException w:name="Grid Table 1 Light Accent 3" w:uiPriority="46"/>
    <w:lsdException w:name="List Number 3" w:semiHidden="1" w:unhideWhenUsed="1"/>
    <w:lsdException w:name="List Table 3 Accent 4" w:uiPriority="48"/>
    <w:lsdException w:name="Table Classic 2" w:semiHidden="1" w:unhideWhenUsed="1"/>
    <w:lsdException w:name="Grid Table 5 Dark Accent 3" w:uiPriority="50"/>
    <w:lsdException w:name="Medium List 2 Accent 6" w:uiPriority="66"/>
    <w:lsdException w:name="List Table 4 Accent 6" w:uiPriority="49"/>
    <w:lsdException w:name="Light Grid" w:uiPriority="62"/>
    <w:lsdException w:name="Grid Table 4 Accent 4" w:uiPriority="49"/>
    <w:lsdException w:name="Medium Shading 2 Accent 5" w:uiPriority="64"/>
    <w:lsdException w:name="Table Elegant" w:semiHidden="1" w:unhideWhenUsed="1"/>
    <w:lsdException w:name="Table Grid 7" w:semiHidden="1" w:unhideWhenUsed="1"/>
    <w:lsdException w:name="Table 3D effects 1" w:semiHidden="1" w:unhideWhenUsed="1"/>
    <w:lsdException w:name="toc 1" w:uiPriority="39" w:semiHidden="1" w:unhideWhenUsed="1"/>
    <w:lsdException w:name="Colorful Shading Accent 1" w:uiPriority="71"/>
    <w:lsdException w:name="Grid Table 7 Colorful Accent 4" w:uiPriority="52"/>
    <w:lsdException w:name="Light Grid Accent 2" w:uiPriority="62"/>
    <w:lsdException w:name="HTML Variable" w:semiHidden="1" w:unhideWhenUsed="1"/>
    <w:lsdException w:name="Outline List 1" w:semiHidden="1" w:unhideWhenUsed="1"/>
    <w:lsdException w:name="Medium Grid 3 Accent 2" w:uiPriority="69"/>
    <w:lsdException w:name="Medium Grid 2 Accent 5" w:uiPriority="68"/>
    <w:lsdException w:name="heading 2" w:uiPriority="9" w:semiHidden="1" w:unhideWhenUsed="1" w:qFormat="1"/>
    <w:lsdException w:name="Intense Emphasis" w:uiPriority="21" w:qFormat="1"/>
    <w:lsdException w:name="Table Simple 3" w:semiHidden="1" w:unhideWhenUsed="1"/>
    <w:lsdException w:name="List Continue 3" w:semiHidden="1" w:unhideWhenUsed="1"/>
    <w:lsdException w:name="Hyperlink" w:semiHidden="1" w:unhideWhenUsed="1"/>
    <w:lsdException w:name="Grid Table 5 Dark Accent 4" w:uiPriority="50"/>
    <w:lsdException w:name="List Number 5" w:semiHidden="1" w:unhideWhenUsed="1"/>
    <w:lsdException w:name="List Table 5 Dark" w:uiPriority="50"/>
    <w:lsdException w:name="HTML Sample" w:semiHidden="1" w:unhideWhenUsed="1"/>
    <w:lsdException w:name="Grid Table 2 Accent 6" w:uiPriority="47"/>
    <w:lsdException w:name="Grid Table 5 Dark Accent 2" w:uiPriority="50"/>
    <w:lsdException w:name="Medium List 1 Accent 4" w:uiPriority="65"/>
    <w:lsdException w:name="List Table 6 Colorful Accent 2" w:uiPriority="51"/>
    <w:lsdException w:name="List Table 5 Dark Accent 1" w:uiPriority="50"/>
    <w:lsdException w:name="Dark List Accent 6" w:uiPriority="70"/>
    <w:lsdException w:name="List Table 7 Colorful" w:uiPriority="52"/>
    <w:lsdException w:name="Bibliography" w:uiPriority="37" w:semiHidden="1" w:unhideWhenUsed="1"/>
    <w:lsdException w:name="Medium Grid 1 Accent 2" w:uiPriority="67"/>
    <w:lsdException w:name="Table Columns 1" w:semiHidden="1" w:unhideWhenUsed="1"/>
    <w:lsdException w:name="Colorful Shading Accent 3" w:uiPriority="71"/>
    <w:lsdException w:name="Table Grid 6" w:semiHidden="1" w:unhideWhenUsed="1"/>
    <w:lsdException w:name="Grid Table 3 Accent 3" w:uiPriority="48"/>
    <w:lsdException w:name="heading 4" w:uiPriority="9" w:semiHidden="1" w:unhideWhenUsed="1" w:qFormat="1"/>
    <w:lsdException w:name="endnote text" w:semiHidden="1" w:unhideWhenUsed="1"/>
    <w:lsdException w:name="Colorful Grid Accent 3" w:uiPriority="73"/>
    <w:lsdException w:name="Medium Grid 3 Accent 3" w:uiPriority="69"/>
    <w:lsdException w:name="table of figures" w:semiHidden="1" w:unhideWhenUsed="1"/>
    <w:lsdException w:name="List Table 2 Accent 6" w:uiPriority="47"/>
    <w:lsdException w:name="Medium Grid 2 Accent 3" w:uiPriority="68"/>
    <w:lsdException w:name="Light Grid Accent 6" w:uiPriority="62"/>
    <w:lsdException w:name="Grid Table 6 Colorful Accent 3" w:uiPriority="51"/>
    <w:lsdException w:name="List Table 1 Light Accent 2" w:uiPriority="46"/>
    <w:lsdException w:name="Grid Table 1 Light Accent 4" w:uiPriority="46"/>
    <w:lsdException w:name="Placeholder Text" w:semiHidden="1"/>
    <w:lsdException w:name="Dark List Accent 2" w:uiPriority="70"/>
    <w:lsdException w:name="footnote text" w:semiHidden="1" w:unhideWhenUsed="1"/>
    <w:lsdException w:name="List Table 1 Light" w:uiPriority="46"/>
    <w:lsdException w:name="Light List Accent 2" w:uiPriority="61"/>
    <w:lsdException w:name="List Continue 5" w:semiHidden="1" w:unhideWhenUsed="1"/>
    <w:lsdException w:name="Medium List 2 Accent 1" w:uiPriority="66"/>
    <w:lsdException w:name="Grid Table 4 Accent 5" w:uiPriority="49"/>
    <w:lsdException w:name="Table List 7" w:semiHidden="1" w:unhideWhenUsed="1"/>
    <w:lsdException w:name="Colorful List Accent 3" w:uiPriority="72"/>
    <w:lsdException w:name="List Table 6 Colorful" w:uiPriority="51"/>
    <w:lsdException w:name="Grid Table 6 Colorful Accent 5" w:uiPriority="51"/>
    <w:lsdException w:name="List Table 2" w:uiPriority="47"/>
    <w:lsdException w:name="Colorful Shading Accent 2" w:uiPriority="71"/>
    <w:lsdException w:name="Table Colorful 3" w:semiHidden="1" w:unhideWhenUsed="1"/>
    <w:lsdException w:name="HTML Bottom of Form" w:semiHidden="1" w:unhideWhenUsed="1"/>
    <w:lsdException w:name="List Table 3 Accent 5" w:uiPriority="48"/>
    <w:lsdException w:name="Intense Reference" w:uiPriority="32" w:qFormat="1"/>
    <w:lsdException w:name="index 7" w:semiHidden="1" w:unhideWhenUsed="1"/>
    <w:lsdException w:name="footnote reference" w:semiHidden="1" w:unhideWhenUsed="1"/>
    <w:lsdException w:name="Medium Shading 1 Accent 4" w:uiPriority="63"/>
    <w:lsdException w:name="Signature" w:semiHidden="1" w:unhideWhenUsed="1"/>
    <w:lsdException w:name="Grid Table 7 Colorful Accent 2" w:uiPriority="52"/>
    <w:lsdException w:name="Intense Quote" w:uiPriority="30" w:qFormat="1"/>
    <w:lsdException w:name="Colorful List" w:uiPriority="72"/>
    <w:lsdException w:name="List Table 4 Accent 2" w:uiPriority="49"/>
    <w:lsdException w:name="List Table 4 Accent 3" w:uiPriority="49"/>
    <w:lsdException w:name="Colorful Grid" w:uiPriority="73"/>
    <w:lsdException w:name="TOC Heading" w:uiPriority="39" w:semiHidden="1" w:unhideWhenUsed="1" w:qFormat="1"/>
    <w:lsdException w:name="List Table 6 Colorful Accent 3" w:uiPriority="51"/>
    <w:lsdException w:name="List Table 2 Accent 2" w:uiPriority="47"/>
    <w:lsdException w:name="index 5" w:semiHidden="1" w:unhideWhenUsed="1"/>
    <w:lsdException w:name="No Spacing" w:uiPriority="1" w:qFormat="1"/>
    <w:lsdException w:name="Normal (Web)" w:semiHidden="1" w:unhideWhenUsed="1"/>
    <w:lsdException w:name="Grid Table 2 Accent 3" w:uiPriority="47"/>
    <w:lsdException w:name="List Table 7 Colorful Accent 1" w:uiPriority="52"/>
    <w:lsdException w:name="Grid Table 3 Accent 6" w:uiPriority="48"/>
    <w:lsdException w:name="Subtitle" w:uiPriority="11" w:qFormat="1"/>
    <w:lsdException w:name="Dark List Accent 4" w:uiPriority="70"/>
    <w:lsdException w:name="Table Contemporary" w:semiHidden="1" w:unhideWhenUsed="1"/>
    <w:lsdException w:name="E-mail Signature" w:semiHidden="1" w:unhideWhenUsed="1"/>
    <w:lsdException w:name="heading 3" w:uiPriority="9" w:semiHidden="1" w:unhideWhenUsed="1" w:qFormat="1"/>
    <w:lsdException w:name="Grid Table 4" w:uiPriority="49"/>
    <w:lsdException w:name="FollowedHyperlink" w:semiHidden="1" w:unhideWhenUsed="1"/>
    <w:lsdException w:name="Body Text Indent" w:semiHidden="1" w:unhideWhenUsed="1"/>
    <w:lsdException w:name="Table Subtle 1" w:semiHidden="1" w:unhideWhenUsed="1"/>
    <w:lsdException w:name="List Table 1 Light Accent 3" w:uiPriority="46"/>
    <w:lsdException w:name="envelope return" w:semiHidden="1" w:unhideWhenUsed="1"/>
    <w:lsdException w:name="Medium List 1 Accent 2" w:uiPriority="65"/>
    <w:lsdException w:name="List Table 7 Colorful Accent 5" w:uiPriority="52"/>
    <w:lsdException w:name="List Table 3 Accent 1" w:uiPriority="48"/>
    <w:lsdException w:name="Medium Grid 2 Accent 1" w:uiPriority="68"/>
    <w:lsdException w:name="Table Colorful 2" w:semiHidden="1" w:unhideWhenUsed="1"/>
    <w:lsdException w:name="Medium Shading 2 Accent 4" w:uiPriority="64"/>
    <w:lsdException w:name="Table List 4" w:semiHidden="1" w:unhideWhenUsed="1"/>
    <w:lsdException w:name="Grid Table 4 Accent 1" w:uiPriority="49"/>
    <w:lsdException w:name="Medium List 1 Accent 6" w:uiPriority="65"/>
    <w:lsdException w:name="Grid Table 5 Dark Accent 5" w:uiPriority="50"/>
    <w:lsdException w:name="toc 6" w:uiPriority="39" w:semiHidden="1" w:unhideWhenUsed="1"/>
    <w:lsdException w:name="Light Shading Accent 4" w:uiPriority="60"/>
    <w:lsdException w:name="Medium Shading 2 Accent 3" w:uiPriority="64"/>
    <w:lsdException w:name="Document Map" w:semiHidden="1" w:unhideWhenUsed="1"/>
    <w:lsdException w:name="heading 9" w:uiPriority="9" w:semiHidden="1" w:unhideWhenUsed="1" w:qFormat="1"/>
    <w:lsdException w:name="toc 2" w:uiPriority="39" w:semiHidden="1" w:unhideWhenUsed="1"/>
    <w:lsdException w:name="annotation reference" w:semiHidden="1" w:unhideWhenUsed="1"/>
    <w:lsdException w:name="Grid Table 7 Colorful Accent 3" w:uiPriority="52"/>
    <w:lsdException w:name="Medium Grid 3 Accent 4" w:uiPriority="69"/>
    <w:lsdException w:name="annotation text" w:semiHidden="1" w:unhideWhenUsed="1"/>
    <w:lsdException w:name="List Paragraph" w:uiPriority="34" w:qFormat="1"/>
    <w:lsdException w:name="Grid Table 4 Accent 3" w:uiPriority="49"/>
    <w:lsdException w:name="List 4" w:semiHidden="1" w:unhideWhenUsed="1"/>
    <w:lsdException w:name="Medium Grid 3 Accent 5" w:uiPriority="69"/>
    <w:lsdException w:name="Table Simple 1" w:semiHidden="1" w:unhideWhenUsed="1"/>
    <w:lsdException w:name="Unresolved Mention" w:semiHidden="1" w:unhideWhenUsed="1"/>
    <w:lsdException w:name="Medium Shading 1 Accent 5" w:uiPriority="63"/>
    <w:lsdException w:name="toc 8" w:uiPriority="39" w:semiHidden="1" w:unhideWhenUsed="1"/>
    <w:lsdException w:name="Medium Grid 3" w:uiPriority="69"/>
    <w:lsdException w:name="Date" w:semiHidden="1" w:unhideWhenUsed="1"/>
    <w:lsdException w:name="HTML Cite" w:semiHidden="1" w:unhideWhenUsed="1"/>
    <w:lsdException w:name="heading 5" w:uiPriority="9" w:semiHidden="1" w:unhideWhenUsed="1" w:qFormat="1"/>
    <w:lsdException w:name="Grid Table 1 Light Accent 6" w:uiPriority="46"/>
    <w:lsdException w:name="Light List Accent 3" w:uiPriority="61"/>
    <w:lsdException w:name="Table 3D effects 3" w:semiHidden="1" w:unhideWhenUsed="1"/>
    <w:lsdException w:name="Medium Grid 1 Accent 4" w:uiPriority="67"/>
    <w:lsdException w:name="Body Text" w:semiHidden="1" w:unhideWhenUsed="1"/>
    <w:lsdException w:name="No List" w:semiHidden="1" w:unhideWhenUsed="1"/>
    <w:lsdException w:name="List Table 1 Light Accent 1" w:uiPriority="46"/>
    <w:lsdException w:name="HTML Preformatted" w:semiHidden="1" w:unhideWhenUsed="1"/>
    <w:lsdException w:name="Grid Table 6 Colorful Accent 4" w:uiPriority="51"/>
    <w:lsdException w:name="Grid Table 2 Accent 2" w:uiPriority="47"/>
    <w:lsdException w:name="Medium Shading 1 Accent 1" w:uiPriority="63"/>
    <w:lsdException w:name="Light List Accent 6" w:uiPriority="61"/>
    <w:lsdException w:name="Body Text 3" w:semiHidden="1" w:unhideWhenUsed="1"/>
    <w:lsdException w:name="Medium List 2 Accent 5" w:uiPriority="66"/>
    <w:lsdException w:name="List Table 6 Colorful Accent 5" w:uiPriority="51"/>
    <w:lsdException w:name="Grid Table 4 Accent 2" w:uiPriority="49"/>
    <w:lsdException w:name="List Bullet 5" w:semiHidden="1" w:unhideWhenUsed="1"/>
    <w:lsdException w:name="Dark List Accent 3" w:uiPriority="70"/>
    <w:lsdException w:name="Colorful Shading Accent 6" w:uiPriority="71"/>
    <w:lsdException w:name="Medium Grid 2 Accent 4" w:uiPriority="68"/>
    <w:lsdException w:name="Medium Grid 1 Accent 6" w:uiPriority="67"/>
    <w:lsdException w:name="List Number 4" w:semiHidden="1" w:unhideWhenUsed="1"/>
    <w:lsdException w:name="Normal Table" w:semiHidden="1" w:unhideWhenUsed="1"/>
    <w:lsdException w:name="Table Grid 4" w:semiHidden="1" w:unhideWhenUsed="1"/>
    <w:lsdException w:name="List Table 5 Dark Accent 3" w:uiPriority="50"/>
    <w:lsdException w:name="Normal" w:uiPriority="0" w:qFormat="1"/>
    <w:lsdException w:name="Table Classic 1" w:semiHidden="1" w:unhideWhenUsed="1"/>
    <w:lsdException w:name="Medium Shading 2 Accent 2" w:uiPriority="64"/>
    <w:lsdException w:name="Grid Table 5 Dark Accent 1" w:uiPriority="50"/>
    <w:lsdException w:name="Subtle Reference" w:uiPriority="31" w:qFormat="1"/>
    <w:lsdException w:name="Medium Shading 1 Accent 6" w:uiPriority="63"/>
    <w:lsdException w:name="Table Classic 4" w:semiHidden="1" w:unhideWhenUsed="1"/>
    <w:lsdException w:name="Smart Hyperlink" w:semiHidden="1" w:unhideWhenUsed="1"/>
    <w:lsdException w:name="Light Shading" w:uiPriority="60"/>
    <w:lsdException w:name="List 5" w:semiHidden="1" w:unhideWhenUsed="1"/>
    <w:lsdException w:name="index 4" w:semiHidden="1" w:unhideWhenUsed="1"/>
    <w:lsdException w:name="Light Shading Accent 6" w:uiPriority="60"/>
    <w:lsdException w:name="HTML Code" w:semiHidden="1" w:unhideWhenUsed="1"/>
    <w:lsdException w:name="Medium List 1 Accent 3" w:uiPriority="65"/>
    <w:lsdException w:name="List Table 6 Colorful Accent 4" w:uiPriority="51"/>
    <w:lsdException w:name="Medium Grid 1" w:uiPriority="67"/>
    <w:lsdException w:name="Medium Grid 2 Accent 6" w:uiPriority="68"/>
    <w:lsdException w:name="Grid Table 7 Colorful" w:uiPriority="52"/>
    <w:lsdException w:name="Grid Table 5 Dark" w:uiPriority="50"/>
    <w:lsdException w:name="Colorful Grid Accent 4" w:uiPriority="73"/>
    <w:lsdException w:name="Grid Table 7 Colorful Accent 6" w:uiPriority="52"/>
    <w:lsdException w:name="List Table 2 Accent 3" w:uiPriority="47"/>
    <w:lsdException w:name="List 3" w:semiHidden="1" w:unhideWhenUsed="1"/>
    <w:lsdException w:name="List Table 6 Colorful Accent 1" w:uiPriority="51"/>
    <w:lsdException w:name="Dark List Accent 5" w:uiPriority="70"/>
    <w:lsdException w:name="Quote" w:uiPriority="29" w:qFormat="1"/>
    <w:lsdException w:name="Grid Table 2 Accent 4" w:uiPriority="47"/>
    <w:lsdException w:name="Light Grid Accent 1" w:uiPriority="62"/>
  </w:latentStyles>
  <w:style w:type="paragraph" w:styleId="000009">
    <w:name w:val="Balloon Text"/>
    <w:basedOn w:val="000003"/>
    <w:link w:val="00000a"/>
    <w:uiPriority w:val="99"/>
    <w:semiHidden w:val="1"/>
    <w:unhideWhenUsed w:val="1"/>
    <w:rsid w:val="00FB63E7"/>
    <w:rPr>
      <w:rFonts w:ascii="Lucida Grande" w:hAnsi="Lucida Grande"/>
      <w:sz w:val="18"/>
      <w:szCs w:val="18"/>
    </w:rPr>
  </w:style>
  <w:style w:type="character" w:styleId="000018" w:customStyle="1">
    <w:name w:val="strong"/>
    <w:basedOn w:val="000007"/>
    <w:uiPriority w:val="1"/>
    <w:qFormat w:val="1"/>
    <w:rsid w:val="007B3E96"/>
    <w:rPr>
      <w:b w:val="1"/>
    </w:rPr>
  </w:style>
  <w:style w:type="character" w:styleId="00000f" w:customStyle="1">
    <w:name w:val="Titre 3 Car"/>
    <w:basedOn w:val="000007"/>
    <w:link w:val="00000e"/>
    <w:uiPriority w:val="9"/>
    <w:semiHidden w:val="1"/>
    <w:rsid w:val="00362E65"/>
    <w:rPr>
      <w:rFonts w:asciiTheme="majorHAnsi" w:hAnsiTheme="majorHAnsi" w:eastAsiaTheme="majorEastAsia" w:cstheme="majorBidi"/>
      <w:b w:val="1"/>
      <w:bCs w:val="1"/>
    </w:rPr>
  </w:style>
  <w:style w:type="paragraph" w:styleId="000001" w:customStyle="1">
    <w:name w:val="table title"/>
    <w:basedOn w:val="000002"/>
    <w:next w:val="000003"/>
    <w:rsid w:val="00901463"/>
  </w:style>
  <w:style w:type="table" w:styleId="000013">
    <w:name w:val="Light List Accent 2"/>
    <w:basedOn w:val="00000d"/>
    <w:uiPriority w:val="61"/>
    <w:rsid w:val="00FC557F"/>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val="1"/>
        <w:bCs w:val="1"/>
        <w:color w:val="FFFFFF" w:themeColor="background1"/>
      </w:rPr>
      <w:tblPr/>
      <w:tcPr>
        <w:shd w:val="clear" w:color="auto" w:fill="C0504D" w:themeFill="accent2"/>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tblStylePr w:type="firstCol">
      <w:rPr>
        <w:b w:val="1"/>
        <w:bCs w:val="1"/>
      </w:rPr>
    </w:tblStylePr>
  </w:style>
  <w:style w:type="character" w:styleId="000005" w:customStyle="1">
    <w:name w:val="Titre 2 Car"/>
    <w:basedOn w:val="000007"/>
    <w:link w:val="000004"/>
    <w:uiPriority w:val="9"/>
    <w:semiHidden w:val="1"/>
    <w:rsid w:val="00362E65"/>
    <w:rPr>
      <w:rFonts w:asciiTheme="majorHAnsi" w:hAnsiTheme="majorHAnsi" w:eastAsiaTheme="majorEastAsia" w:cstheme="majorBidi"/>
      <w:b w:val="1"/>
      <w:bCs w:val="1"/>
      <w:sz w:val="26"/>
      <w:szCs w:val="26"/>
    </w:rPr>
  </w:style>
  <w:style w:type="paragraph" w:styleId="000004">
    <w:name w:val="heading 2"/>
    <w:basedOn w:val="000003"/>
    <w:next w:val="000003"/>
    <w:link w:val="000005"/>
    <w:uiPriority w:val="9"/>
    <w:semiHidden w:val="1"/>
    <w:unhideWhenUsed w:val="1"/>
    <w:qFormat w:val="1"/>
    <w:rsid w:val="00362E65"/>
    <w:pPr>
      <w:keepNext w:val="1"/>
      <w:keepLines w:val="1"/>
      <w:numPr>
        <w:ilvl w:val="1"/>
        <w:numId w:val="1"/>
      </w:numPr>
      <w:spacing w:before="200"/>
      <w:outlineLvl w:val="1"/>
    </w:pPr>
    <w:rPr>
      <w:rFonts w:asciiTheme="majorHAnsi" w:hAnsiTheme="majorHAnsi" w:eastAsiaTheme="majorEastAsia" w:cstheme="majorBidi"/>
      <w:b w:val="1"/>
      <w:bCs w:val="1"/>
      <w:sz w:val="26"/>
      <w:szCs w:val="26"/>
    </w:rPr>
  </w:style>
  <w:style w:type="paragraph" w:styleId="000010">
    <w:name w:val="toc 2"/>
    <w:basedOn w:val="000003"/>
    <w:next w:val="000003"/>
    <w:autoRedefine w:val="1"/>
    <w:uiPriority w:val="39"/>
    <w:unhideWhenUsed w:val="1"/>
    <w:rsid w:val="00FB63E7"/>
    <w:pPr>
      <w:spacing w:after="100"/>
      <w:ind w:left="240"/>
    </w:pPr>
  </w:style>
  <w:style w:type="character" w:styleId="000007" w:default="1">
    <w:name w:val="Default Paragraph Font"/>
    <w:uiPriority w:val="1"/>
    <w:semiHidden w:val="1"/>
    <w:unhideWhenUsed w:val="1"/>
  </w:style>
  <w:style w:type="paragraph" w:styleId="000002" w:customStyle="1">
    <w:name w:val="Table Caption"/>
    <w:basedOn w:val="000012"/>
    <w:qFormat w:val="1"/>
    <w:rsid w:val="00AE18EF"/>
  </w:style>
  <w:style w:type="table" w:styleId="00000d" w:default="1">
    <w:name w:val="Normal Table"/>
    <w:uiPriority w:val="99"/>
    <w:semiHidden w:val="1"/>
    <w:unhideWhenUsed w:val="1"/>
    <w:tblPr>
      <w:tblInd w:w="0" w:type="dxa"/>
      <w:tblCellMar>
        <w:top w:w="0" w:type="dxa"/>
        <w:left w:w="108" w:type="dxa"/>
        <w:bottom w:w="0" w:type="dxa"/>
        <w:right w:w="108" w:type="dxa"/>
      </w:tblCellMar>
    </w:tblPr>
  </w:style>
  <w:style w:type="paragraph" w:styleId="000008">
    <w:name w:val="heading 1"/>
    <w:basedOn w:val="000003"/>
    <w:next w:val="000003"/>
    <w:link w:val="000006"/>
    <w:uiPriority w:val="9"/>
    <w:qFormat w:val="1"/>
    <w:rsid w:val="00362E65"/>
    <w:pPr>
      <w:keepNext w:val="1"/>
      <w:keepLines w:val="1"/>
      <w:numPr>
        <w:numId w:val="1"/>
      </w:numPr>
      <w:pBdr>
        <w:bottom w:val="single" w:color="auto" w:sz="4" w:space="1"/>
      </w:pBdr>
      <w:spacing w:before="480"/>
      <w:outlineLvl w:val="0"/>
    </w:pPr>
    <w:rPr>
      <w:rFonts w:asciiTheme="majorHAnsi" w:hAnsiTheme="majorHAnsi" w:eastAsiaTheme="majorEastAsia" w:cstheme="majorBidi"/>
      <w:b w:val="1"/>
      <w:bCs w:val="1"/>
      <w:sz w:val="32"/>
      <w:szCs w:val="32"/>
    </w:rPr>
  </w:style>
  <w:style w:type="paragraph" w:styleId="00000e">
    <w:name w:val="heading 3"/>
    <w:basedOn w:val="000003"/>
    <w:next w:val="000003"/>
    <w:link w:val="00000f"/>
    <w:uiPriority w:val="9"/>
    <w:semiHidden w:val="1"/>
    <w:unhideWhenUsed w:val="1"/>
    <w:qFormat w:val="1"/>
    <w:rsid w:val="00362E65"/>
    <w:pPr>
      <w:keepNext w:val="1"/>
      <w:keepLines w:val="1"/>
      <w:numPr>
        <w:ilvl w:val="2"/>
        <w:numId w:val="1"/>
      </w:numPr>
      <w:spacing w:before="200"/>
      <w:outlineLvl w:val="2"/>
    </w:pPr>
    <w:rPr>
      <w:rFonts w:asciiTheme="majorHAnsi" w:hAnsiTheme="majorHAnsi" w:eastAsiaTheme="majorEastAsia" w:cstheme="majorBidi"/>
      <w:b w:val="1"/>
      <w:bCs w:val="1"/>
    </w:rPr>
  </w:style>
  <w:style w:type="paragraph" w:styleId="000015" w:customStyle="1">
    <w:name w:val="graphic title"/>
    <w:basedOn w:val="000012"/>
    <w:next w:val="000003"/>
    <w:rsid w:val="0035500D"/>
  </w:style>
  <w:style w:type="character" w:styleId="00000a" w:customStyle="1">
    <w:name w:val="Texte de bulles Car"/>
    <w:basedOn w:val="000007"/>
    <w:link w:val="000009"/>
    <w:uiPriority w:val="99"/>
    <w:semiHidden w:val="1"/>
    <w:rsid w:val="00FB63E7"/>
    <w:rPr>
      <w:rFonts w:ascii="Lucida Grande" w:hAnsi="Lucida Grande"/>
      <w:sz w:val="18"/>
      <w:szCs w:val="18"/>
    </w:rPr>
  </w:style>
  <w:style w:type="paragraph" w:styleId="000003" w:default="1">
    <w:name w:val="Normal"/>
    <w:qFormat w:val="1"/>
  </w:style>
  <w:style w:type="paragraph" w:styleId="000012" w:customStyle="1">
    <w:name w:val="Image Caption"/>
    <w:basedOn w:val="000003"/>
    <w:qFormat w:val="1"/>
    <w:rsid w:val="00AE18EF"/>
    <w:pPr>
      <w:jc w:val="center"/>
    </w:pPr>
    <w:rPr>
      <w:b w:val="1"/>
      <w:i w:val="1"/>
    </w:rPr>
  </w:style>
  <w:style w:type="paragraph" w:styleId="00000b" w:customStyle="1">
    <w:name w:val="centered"/>
    <w:basedOn w:val="000003"/>
    <w:qFormat w:val="1"/>
    <w:rsid w:val="001D75AB"/>
    <w:pPr>
      <w:jc w:val="center"/>
    </w:pPr>
  </w:style>
  <w:style w:type="table" w:styleId="00000c" w:customStyle="1">
    <w:name w:val="table_template"/>
    <w:basedOn w:val="00000d"/>
    <w:uiPriority w:val="59"/>
    <w:rsid w:val="00F12158"/>
    <w:pPr>
      <w:jc w:val="right"/>
    </w:pPr>
    <w:tblPr>
      <w:jc w:val="center"/>
      <w:tblBorders>
        <w:top w:val="single" w:color="auto" w:sz="8" w:space="0"/>
        <w:bottom w:val="single" w:color="auto" w:sz="8" w:space="0"/>
        <w:insideH w:val="single" w:color="auto" w:sz="8" w:space="0"/>
      </w:tblBorders>
    </w:tblPr>
    <w:trPr>
      <w:jc w:val="center"/>
    </w:trPr>
    <w:tblStylePr w:type="firstRow">
      <w:rPr>
        <w:b w:val="1"/>
      </w:rPr>
      <w:tblPr/>
      <w:tcPr>
        <w:tcBorders>
          <w:top w:val="nil"/>
          <w:left w:val="nil"/>
          <w:bottom w:val="single" w:color="auto" w:sz="18" w:space="0"/>
          <w:right w:val="nil"/>
          <w:insideH w:val="nil"/>
          <w:insideV w:val="nil"/>
          <w:tl2br w:val="nil"/>
          <w:tr2bl w:val="nil"/>
        </w:tcBorders>
      </w:tcPr>
    </w:tblStylePr>
  </w:style>
  <w:style w:type="table" w:styleId="000011">
    <w:name w:val="Table Professional"/>
    <w:basedOn w:val="00000d"/>
    <w:uiPriority w:val="99"/>
    <w:semiHidden w:val="1"/>
    <w:unhideWhenUsed w:val="1"/>
    <w:rsid w:val="00C31EEB"/>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val="1"/>
        <w:bCs w:val="1"/>
        <w:color w:val="auto"/>
      </w:rPr>
      <w:tblPr/>
      <w:tcPr>
        <w:shd w:val="solid" w:color="000000" w:fill="FFFFFF"/>
      </w:tcPr>
    </w:tblStylePr>
  </w:style>
  <w:style w:type="paragraph" w:styleId="000014">
    <w:name w:val="toc 1"/>
    <w:basedOn w:val="000003"/>
    <w:next w:val="000003"/>
    <w:autoRedefine w:val="1"/>
    <w:uiPriority w:val="39"/>
    <w:unhideWhenUsed w:val="1"/>
    <w:rsid w:val="00FB63E7"/>
    <w:pPr>
      <w:spacing w:after="100"/>
    </w:pPr>
  </w:style>
  <w:style w:type="character" w:styleId="000006" w:customStyle="1">
    <w:name w:val="Titre 1 Car"/>
    <w:basedOn w:val="000007"/>
    <w:link w:val="000008"/>
    <w:uiPriority w:val="9"/>
    <w:rsid w:val="00362E65"/>
    <w:rPr>
      <w:rFonts w:asciiTheme="majorHAnsi" w:hAnsiTheme="majorHAnsi" w:eastAsiaTheme="majorEastAsia" w:cstheme="majorBidi"/>
      <w:b w:val="1"/>
      <w:bCs w:val="1"/>
      <w:sz w:val="32"/>
      <w:szCs w:val="32"/>
    </w:rPr>
  </w:style>
  <w:style w:type="numbering" w:styleId="000016" w:default="1">
    <w:name w:val="No List"/>
    <w:uiPriority w:val="99"/>
    <w:semiHidden w:val="1"/>
    <w:unhideWhenUsed w:val="1"/>
  </w:style>
  <w:style w:type="character" w:styleId="000017" w:customStyle="1">
    <w:name w:val="reference_id"/>
    <w:basedOn w:val="000007"/>
    <w:uiPriority w:val="1"/>
    <w:rsid w:val="00457CF1"/>
    <w:rPr>
      <w:vertAlign w:val="superscript"/>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5" Type="http://schemas.openxmlformats.org/officeDocument/2006/relationships/image" Target="media/image2.png" /><Relationship Id="rId1" Type="http://schemas.openxmlformats.org/officeDocument/2006/relationships/settings" Target="settings.xml" /><Relationship Id="rId4" Type="http://schemas.openxmlformats.org/officeDocument/2006/relationships/image" Target="media/image1.png" /><Relationship Id="rId2" Type="http://schemas.openxmlformats.org/officeDocument/2006/relationships/fontTable" Target="fontTable.xml" /><Relationship Id="rId3" Type="http://schemas.openxmlformats.org/officeDocument/2006/relationships/theme" Target="theme/theme1.xml"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2026-08-18T22:15:44Z</dcterms:created>
  <dcterms:modified xsi:type="dcterms:W3CDTF">2026-08-18T22:15:44Z</dcterms:modified>
</cp:coreProperties>
</file>