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Figure legends</w:t>
      </w:r>
    </w:p>
    <w:bookmarkStart w:id="28" w:name="X9e3c502f931c5811a4f04cb744b691fef912737"/>
    <w:p>
      <w:pPr>
        <w:pStyle w:val="Heading2"/>
      </w:pPr>
      <w:r>
        <w:t xml:space="preserve">Fig. 1. Prospective LoD protocol and two-arm replicate planning (panels A–D)</w:t>
      </w:r>
    </w:p>
    <w:p>
      <w:pPr>
        <w:pStyle w:val="FirstParagraph"/>
      </w:pPr>
      <w:r>
        <w:t xml:space="preserve">Operating characteristics for two-arm hit-rate comparison at verification concentration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 logistic dose–response calibration (Supplement §S2c; default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decade; Methods).</w:t>
      </w:r>
    </w:p>
    <w:p>
      <w:pPr>
        <w:pStyle w:val="BodyText"/>
      </w:pPr>
      <w:r>
        <w:t xml:space="preserve">A. Three-step planning banner (lock the claim, score n=20, plan n* as a function of delta p); heatmaps use the integer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lattice: comparative claim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; operating-characteristic surfaces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;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design surface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(Eq. 2); banner links analytical LoD</w:t>
      </w:r>
      <m:oMath>
        <m:sSub>
          <m:e>
            <m:r>
              <m:t>​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) to finite-</w:t>
      </w:r>
      <m:oMath>
        <m:r>
          <m:t>n</m:t>
        </m:r>
      </m:oMath>
      <w:r>
        <w:t xml:space="preserve"> </w:t>
      </w:r>
      <w:r>
        <w:t xml:space="preserve">inferential OC (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). Concentration map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(logistic dose–response; Supplement §S2c).</w:t>
      </w:r>
    </w:p>
    <w:p>
      <w:pPr>
        <w:pStyle w:val="BodyText"/>
      </w:pPr>
      <w:r>
        <w:t xml:space="preserve">B. Exact Fisher miss probability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 arm over all valid integer pairs (1225 cells;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61% of cells have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0.8</m:t>
        </m:r>
      </m:oMath>
      <w:r>
        <w:t xml:space="preserve"> (a property of the equally spaced design lattice, not a laboratory prevalence). Eight reference pairs marked (Table 2). Dashed contours: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(asymptotic pooled-</w:t>
      </w:r>
      <m:oMath>
        <m:r>
          <m:t>z</m:t>
        </m:r>
      </m:oMath>
      <w:r>
        <w:t xml:space="preserve">).</w:t>
      </w:r>
    </w:p>
    <w:p>
      <w:pPr>
        <w:pStyle w:val="BodyText"/>
      </w:pPr>
      <w:r>
        <w:t xml:space="preserve">C. Design surface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power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(Eq. 2; log color scale). Marginal by contrast, median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versus contrast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(Supplementary Table 3f). Dashed contours: median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power</w:t>
      </w:r>
      <w:r>
        <w:t xml:space="preserve"> </w:t>
      </w:r>
      <m:oMath>
        <m:r>
          <m:t>0.70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0.90</m:t>
        </m:r>
      </m:oMath>
      <w:r>
        <w:t xml:space="preserve">.</w:t>
      </w:r>
    </w:p>
    <w:p>
      <w:pPr>
        <w:pStyle w:val="BodyText"/>
      </w:pPr>
      <w:r>
        <w:t xml:space="preserve">D. Map from hit rate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under logistic dose–response (Supplement §S2c;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default; band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1.5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]</m:t>
        </m:r>
      </m:oMath>
      <w:r>
        <w:t xml:space="preserve">). All integer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shown;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annotated as examples.</w:t>
      </w:r>
    </w:p>
    <w:p>
      <w:pPr>
        <w:pStyle w:val="BodyText"/>
      </w:pPr>
      <w:r>
        <w:t xml:space="preserve">Full lattice: online Supplementary Table03_comparison_grid_n20.csv; marginal by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: Table 3f.</w:t>
      </w:r>
    </w:p>
    <w:p>
      <w:pPr>
        <w:pStyle w:val="BodyText"/>
      </w:pPr>
      <w:r>
        <w:t xml:space="preserve">Alt text (Fig. 1). Four-panel figure. Panel A: lock the claim, score n=20 on the design lattice, then plan n-star as a function of delta p. Panel B: heatmap of miss probability beta at n equals 20 for all valid p_A greater than p_B pairs; 61 percent above 0.8. Panel C: log-scale design surface n star; 90/80 pair marked. Panel D: logistic map from every integer hit rate to concentration ratio relative to LoD95.</w:t>
      </w:r>
    </w:p>
    <w:bookmarkEnd w:id="28"/>
    <w:bookmarkStart w:id="29" w:name="Xdcb83998cab6c433f4d975427732f6a733a2fa2"/>
    <w:p>
      <w:pPr>
        <w:pStyle w:val="Heading2"/>
      </w:pPr>
      <w:r>
        <w:t xml:space="preserve">Fig. 2. Tier A public-deposit calibration (panels A–C)</w:t>
      </w:r>
    </w:p>
    <w:p>
      <w:pPr>
        <w:pStyle w:val="FirstParagraph"/>
      </w:pPr>
      <w:r>
        <w:t xml:space="preserve">Calibration of planning outputs on archived tier A public deposits (Table 3). Illustrates gate and guidance-</w:t>
      </w:r>
      <m:oMath>
        <m:r>
          <m:t>n</m:t>
        </m:r>
      </m:oMath>
      <w:r>
        <w:t xml:space="preserve"> </w:t>
      </w:r>
      <w:r>
        <w:t xml:space="preserve">behavior; not multi-assay clinical validation of commercial assays or IFUs.</w:t>
      </w:r>
    </w:p>
    <w:p>
      <w:pPr>
        <w:pStyle w:val="BodyText"/>
      </w:pPr>
      <w:r>
        <w:t xml:space="preserve">A. Mus wild-type qPCR hit-rate series near LoD (Zenodo 12609243; Piaggio et al.): standard-quantity (SQ) versus detection rate with binomial error bars; horizontal dashed line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0.95</m:t>
        </m:r>
      </m:oMath>
      <w:r>
        <w:t xml:space="preserve">. Steep slope near LoD motivates locking both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the detection claim before planning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B. Ratios of guidance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conventional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for tier A deposits (deposit labels match Table 3 abbreviations). Bars plot only when a guidance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ratio are defined; deposits without a comparable ratio are labeled “ratio N/A” (see Table 3). Where defined, values commonly fall between about 2.6× and 10× (examples: multiplex respiratory qPCR lot comparison,</w:t>
      </w:r>
      <w:r>
        <w:t xml:space="preserve"> </w:t>
      </w:r>
      <m:oMath>
        <m:r>
          <m:rPr>
            <m:sty m:val="p"/>
          </m:rPr>
          <m:t>≈</m:t>
        </m:r>
        <m:r>
          <m:t>9.95</m:t>
        </m:r>
        <m:r>
          <m:rPr>
            <m:sty m:val="p"/>
          </m:rPr>
          <m:t>×</m:t>
        </m:r>
      </m:oMath>
      <w:r>
        <w:t xml:space="preserve"> </w:t>
      </w:r>
      <w:r>
        <w:t xml:space="preserve">with guidance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199</m:t>
        </m:r>
      </m:oMath>
      <w:r>
        <w:t xml:space="preserve">; EP17 estradiol benchmark confirmation versus qualitative pass rule,</w:t>
      </w:r>
      <w:r>
        <w:t xml:space="preserve"> </w:t>
      </w:r>
      <m:oMath>
        <m:r>
          <m:rPr>
            <m:sty m:val="p"/>
          </m:rPr>
          <m:t>≈</m:t>
        </m:r>
        <m:r>
          <m:t>2.65</m:t>
        </m:r>
        <m:r>
          <m:rPr>
            <m:sty m:val="p"/>
          </m:rPr>
          <m:t>×</m:t>
        </m:r>
      </m:oMath>
      <w:r>
        <w:t xml:space="preserve"> </w:t>
      </w:r>
      <w:r>
        <w:t xml:space="preserve">with guidance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53</m:t>
        </m:r>
      </m:oMath>
      <w:r>
        <w:t xml:space="preserve">).</w:t>
      </w:r>
    </w:p>
    <w:p>
      <w:pPr>
        <w:pStyle w:val="BodyText"/>
      </w:pPr>
      <w:r>
        <w:t xml:space="preserve">C. Equal-weight decision risk ledger comparing conventional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designs with powered plans for reference protocol-specific pairs (median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3.9</m:t>
        </m:r>
      </m:oMath>
      <w:r>
        <w:t xml:space="preserve">; Table 3).</w:t>
      </w:r>
    </w:p>
    <w:p>
      <w:pPr>
        <w:pStyle w:val="BodyText"/>
      </w:pPr>
      <w:r>
        <w:t xml:space="preserve">Alt text (Fig. 2). Three-panel figure. Panel A: Mus WT qPCR hit rate versus standard quantity on log scale, steep rise near LoD, dashed line at 95 percent detection. Panel B: horizontal bar chart of guidance n divided by 20 for tier A deposits where ratio is defined; some rows marked ratio not applicable. Panel C: decision-risk comparison bars for conventional n equals 20 versus powered sample sizes.</w:t>
      </w:r>
    </w:p>
    <w:bookmarkEnd w:id="29"/>
    <w:bookmarkEnd w:id="3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legends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