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153D14" w14:textId="3CBADF4D" w:rsidR="0063093F" w:rsidRDefault="007A1461" w:rsidP="0063093F">
      <w:pPr>
        <w:pStyle w:val="pdq2pgselectionanchorcontainer"/>
      </w:pPr>
      <w:r w:rsidRPr="007D5866">
        <w:rPr>
          <w:b/>
          <w:bCs/>
          <w:sz w:val="23"/>
          <w:szCs w:val="23"/>
        </w:rPr>
        <w:t>Title:</w:t>
      </w:r>
      <w:r w:rsidRPr="007D5866">
        <w:rPr>
          <w:sz w:val="23"/>
          <w:szCs w:val="23"/>
        </w:rPr>
        <w:t xml:space="preserve"> </w:t>
      </w:r>
      <w:r w:rsidR="0063093F">
        <w:rPr>
          <w:rStyle w:val="Strong"/>
          <w:rFonts w:hint="eastAsia"/>
        </w:rPr>
        <w:t xml:space="preserve">Claim-specific sample-size planning for binary hit-rate LoD verification</w:t>
      </w:r>
    </w:p>
    <w:p w14:paraId="792EE5D3" w14:textId="60D4ED59" w:rsidR="00FA3078" w:rsidRPr="007D5866" w:rsidRDefault="00FA3078" w:rsidP="007D5866">
      <w:pPr>
        <w:pStyle w:val="FirstParagraph"/>
        <w:contextualSpacing/>
        <w:rPr>
          <w:sz w:val="23"/>
          <w:szCs w:val="23"/>
        </w:rPr>
      </w:pPr>
    </w:p>
    <w:p w14:paraId="1733DB65" w14:textId="78004A48" w:rsidR="00FA3078" w:rsidRPr="007D5866" w:rsidRDefault="007A1461" w:rsidP="007D5866">
      <w:pPr>
        <w:pStyle w:val="BodyText"/>
        <w:contextualSpacing/>
        <w:rPr>
          <w:sz w:val="23"/>
          <w:szCs w:val="23"/>
        </w:rPr>
      </w:pPr>
      <w:r w:rsidRPr="007D5866">
        <w:rPr>
          <w:b/>
          <w:bCs/>
          <w:sz w:val="23"/>
          <w:szCs w:val="23"/>
        </w:rPr>
        <w:t>Running title (if required):</w:t>
      </w:r>
      <w:r w:rsidRPr="007D5866">
        <w:rPr>
          <w:sz w:val="23"/>
          <w:szCs w:val="23"/>
        </w:rPr>
        <w:t xml:space="preserve"> LoD </w:t>
      </w:r>
      <w:r w:rsidR="0063093F">
        <w:rPr>
          <w:sz w:val="23"/>
          <w:szCs w:val="23"/>
        </w:rPr>
        <w:t>verification</w:t>
      </w:r>
      <w:r w:rsidRPr="007D5866">
        <w:rPr>
          <w:sz w:val="23"/>
          <w:szCs w:val="23"/>
        </w:rPr>
        <w:t xml:space="preserve"> sample size planning</w:t>
      </w:r>
    </w:p>
    <w:p w14:paraId="3B748264" w14:textId="77777777" w:rsidR="00FA3078" w:rsidRPr="007D5866" w:rsidRDefault="007A1461" w:rsidP="007D5866">
      <w:pPr>
        <w:pStyle w:val="BodyText"/>
        <w:contextualSpacing/>
        <w:rPr>
          <w:sz w:val="23"/>
          <w:szCs w:val="23"/>
        </w:rPr>
      </w:pPr>
      <w:r w:rsidRPr="007D5866">
        <w:rPr>
          <w:b/>
          <w:bCs/>
          <w:sz w:val="23"/>
          <w:szCs w:val="23"/>
        </w:rPr>
        <w:t>Authors:</w:t>
      </w:r>
      <w:r w:rsidRPr="007D5866">
        <w:rPr>
          <w:sz w:val="23"/>
          <w:szCs w:val="23"/>
        </w:rPr>
        <w:t xml:space="preserve"> Dong Zhang, MD</w:t>
      </w:r>
      <w:r w:rsidRPr="007D5866">
        <w:rPr>
          <w:sz w:val="23"/>
          <w:szCs w:val="23"/>
          <w:vertAlign w:val="superscript"/>
        </w:rPr>
        <w:t>a,b</w:t>
      </w:r>
      <w:r w:rsidRPr="007D5866">
        <w:rPr>
          <w:sz w:val="23"/>
          <w:szCs w:val="23"/>
        </w:rPr>
        <w:t xml:space="preserve"> · Qiwen Yang, PhD</w:t>
      </w:r>
      <w:r w:rsidRPr="007D5866">
        <w:rPr>
          <w:sz w:val="23"/>
          <w:szCs w:val="23"/>
          <w:vertAlign w:val="superscript"/>
        </w:rPr>
        <w:t>a,b</w:t>
      </w:r>
    </w:p>
    <w:p w14:paraId="7FBB01DA" w14:textId="77777777" w:rsidR="00FA3078" w:rsidRPr="007D5866" w:rsidRDefault="007A1461" w:rsidP="007D5866">
      <w:pPr>
        <w:pStyle w:val="BodyText"/>
        <w:contextualSpacing/>
        <w:rPr>
          <w:sz w:val="23"/>
          <w:szCs w:val="23"/>
        </w:rPr>
      </w:pPr>
      <w:r w:rsidRPr="007D5866">
        <w:rPr>
          <w:b/>
          <w:bCs/>
          <w:sz w:val="23"/>
          <w:szCs w:val="23"/>
        </w:rPr>
        <w:t>Corresponding author:</w:t>
      </w:r>
      <w:r w:rsidRPr="007D5866">
        <w:rPr>
          <w:sz w:val="23"/>
          <w:szCs w:val="23"/>
        </w:rPr>
        <w:t xml:space="preserve"> Qiwen Yang, PhD · Department of Clinical Laboratory, Peking Union Medical College Hospital, Chinese Academy of Medical Sciences &amp; Peking Union Medical College, Beijing, PR China · yangqiwen81@vip.163.com</w:t>
      </w:r>
    </w:p>
    <w:p w14:paraId="44430BFF" w14:textId="77777777" w:rsidR="00FA3078" w:rsidRPr="007D5866" w:rsidRDefault="007A1461" w:rsidP="007D5866">
      <w:pPr>
        <w:pStyle w:val="BodyText"/>
        <w:contextualSpacing/>
        <w:rPr>
          <w:sz w:val="23"/>
          <w:szCs w:val="23"/>
        </w:rPr>
      </w:pPr>
      <w:r w:rsidRPr="007D5866">
        <w:rPr>
          <w:b/>
          <w:bCs/>
          <w:sz w:val="23"/>
          <w:szCs w:val="23"/>
        </w:rPr>
        <w:t>Affiliations:</w:t>
      </w:r>
      <w:r w:rsidRPr="007D5866">
        <w:rPr>
          <w:sz w:val="23"/>
          <w:szCs w:val="23"/>
        </w:rPr>
        <w:t xml:space="preserve"> </w:t>
      </w:r>
      <w:r w:rsidRPr="007D5866">
        <w:rPr>
          <w:sz w:val="23"/>
          <w:szCs w:val="23"/>
          <w:vertAlign w:val="superscript"/>
        </w:rPr>
        <w:t>a</w:t>
      </w:r>
      <w:r w:rsidRPr="007D5866">
        <w:rPr>
          <w:sz w:val="23"/>
          <w:szCs w:val="23"/>
        </w:rPr>
        <w:t xml:space="preserve"> Department of Clinical Laboratory, Peking Union Medical College Hospital, Chinese Academy of Medical Sciences &amp; Peking Union Medical College, Beijing, PR China · </w:t>
      </w:r>
      <w:r w:rsidRPr="007D5866">
        <w:rPr>
          <w:sz w:val="23"/>
          <w:szCs w:val="23"/>
          <w:vertAlign w:val="superscript"/>
        </w:rPr>
        <w:t>b</w:t>
      </w:r>
      <w:r w:rsidRPr="007D5866">
        <w:rPr>
          <w:sz w:val="23"/>
          <w:szCs w:val="23"/>
        </w:rPr>
        <w:t xml:space="preserve"> Key Laboratory of Pathogen Infection Genomics and Pathogenesis, Chinese Academy of Medical Sciences, Beijing, PR China</w:t>
      </w:r>
    </w:p>
    <w:p w14:paraId="5B2FFC98" w14:textId="77777777" w:rsidR="00FA3078" w:rsidRPr="007D5866" w:rsidRDefault="007A1461" w:rsidP="007D5866">
      <w:pPr>
        <w:pStyle w:val="BodyText"/>
        <w:contextualSpacing/>
        <w:rPr>
          <w:sz w:val="23"/>
          <w:szCs w:val="23"/>
        </w:rPr>
      </w:pPr>
      <w:r w:rsidRPr="007D5866">
        <w:rPr>
          <w:b/>
          <w:bCs/>
          <w:sz w:val="23"/>
          <w:szCs w:val="23"/>
        </w:rPr>
        <w:t>Word count (main text, excl. abstract/references/tables/legends):</w:t>
      </w:r>
      <w:r w:rsidRPr="007D5866">
        <w:rPr>
          <w:sz w:val="23"/>
          <w:szCs w:val="23"/>
        </w:rPr>
        <w:t xml:space="preserve"> ~3,221</w:t>
      </w:r>
    </w:p>
    <w:p w14:paraId="5AFA2D95" w14:textId="77777777" w:rsidR="00FA3078" w:rsidRPr="007D5866" w:rsidRDefault="007A1461" w:rsidP="007D5866">
      <w:pPr>
        <w:pStyle w:val="BodyText"/>
        <w:contextualSpacing/>
        <w:rPr>
          <w:sz w:val="23"/>
          <w:szCs w:val="23"/>
        </w:rPr>
      </w:pPr>
      <w:r w:rsidRPr="007D5866">
        <w:rPr>
          <w:b/>
          <w:bCs/>
          <w:sz w:val="23"/>
          <w:szCs w:val="23"/>
        </w:rPr>
        <w:t>Figures:</w:t>
      </w:r>
      <w:r w:rsidRPr="007D5866">
        <w:rPr>
          <w:sz w:val="23"/>
          <w:szCs w:val="23"/>
        </w:rPr>
        <w:t xml:space="preserve"> 2 (main) · Tables: 3 (main) + 5 (supplement)</w:t>
      </w:r>
    </w:p>
    <w:p>
      <w:pPr>
        <w:pStyle w:val="NormalWeb"/>
        <w:contextualSpacing/>
      </w:pPr>
      <w:r>
        <w:t xml:space="preserve">Brief Summary (≤100 words). Laboratory LoD worksheets often freeze about 20 replicates without sizing the claim. Exact Fisher surfaces on 1,225 equally spaced hit-rate pairs (a design lattice, not a field survey) and a 16-record convenience audit are reported (Supplementary Table 7b). At n=20 per arm, 61% of lattice cells leave β&gt;0.8; n* tracked Δp (~2,900 at 1-5 pp; 32 above 20 pp). A 19/20 rule at p=0.95 passes with probability 0.74. Audit ratios versus 20 commonly span 2.6-10× under author-specified targets.</w:t>
      </w:r>
    </w:p>
    <w:p w14:paraId="64A3E5E2" w14:textId="27990890" w:rsidR="00FA3078" w:rsidRPr="007D5866" w:rsidRDefault="007A1461" w:rsidP="007D5866">
      <w:pPr>
        <w:pStyle w:val="BodyText"/>
        <w:contextualSpacing/>
        <w:rPr>
          <w:sz w:val="23"/>
          <w:szCs w:val="23"/>
        </w:rPr>
      </w:pPr>
      <w:r w:rsidRPr="007D5866">
        <w:rPr>
          <w:b/>
          <w:bCs/>
          <w:sz w:val="23"/>
          <w:szCs w:val="23"/>
        </w:rPr>
        <w:t>Keywords:</w:t>
      </w:r>
      <w:r w:rsidRPr="007D5866">
        <w:rPr>
          <w:sz w:val="23"/>
          <w:szCs w:val="23"/>
        </w:rPr>
        <w:t xml:space="preserve"> limit of detection; sample size; </w:t>
      </w:r>
      <w:r w:rsidR="0063093F">
        <w:rPr>
          <w:sz w:val="23"/>
          <w:szCs w:val="23"/>
        </w:rPr>
        <w:t>verification</w:t>
      </w:r>
      <w:r w:rsidRPr="007D5866">
        <w:rPr>
          <w:sz w:val="23"/>
          <w:szCs w:val="23"/>
        </w:rPr>
        <w:t>; CLSI EP17; reproducibility of results; laboratory medicine</w:t>
      </w:r>
    </w:p>
    <w:p w14:paraId="7EB7064F" w14:textId="18B0B91E" w:rsidR="00FA3078" w:rsidRPr="007D5866" w:rsidRDefault="007A1461" w:rsidP="007D5866">
      <w:pPr>
        <w:pStyle w:val="BodyText"/>
        <w:contextualSpacing/>
        <w:rPr>
          <w:sz w:val="23"/>
          <w:szCs w:val="23"/>
        </w:rPr>
      </w:pPr>
      <w:r w:rsidRPr="007D5866">
        <w:rPr>
          <w:b/>
          <w:bCs/>
          <w:sz w:val="23"/>
          <w:szCs w:val="23"/>
        </w:rPr>
        <w:t>Abbreviations (in order of appearance).</w:t>
      </w:r>
      <w:r w:rsidRPr="007D5866">
        <w:rPr>
          <w:sz w:val="23"/>
          <w:szCs w:val="23"/>
        </w:rPr>
        <w:t xml:space="preserve"> CLSI, Clinical and Laboratory Standards Institute; EP17, </w:t>
      </w:r>
      <w:r w:rsidR="0063093F">
        <w:rPr>
          <w:sz w:val="23"/>
          <w:szCs w:val="23"/>
        </w:rPr>
        <w:t>Verification</w:t>
      </w:r>
      <w:r w:rsidRPr="007D5866">
        <w:rPr>
          <w:sz w:val="23"/>
          <w:szCs w:val="23"/>
        </w:rPr>
        <w:t xml:space="preserve"> of Detection Capability for Clinical Laboratory Measurement Procedures; LoD, limit of detection; LIS, laboratory information system; IFU, instructions for use; benchmark confirmation, two-arm comparison, and qualitative pass criteria (detection-claim types in Table 1, not CLSI nomenclature); </w:t>
      </w:r>
      <m:oMath>
        <m:r>
          <w:rPr>
            <w:rFonts w:ascii="Cambria Math" w:hAnsi="Cambria Math"/>
            <w:sz w:val="23"/>
            <w:szCs w:val="23"/>
          </w:rPr>
          <m:t>Lo</m:t>
        </m:r>
        <m:sSub>
          <m:sSubPr>
            <m:ctrlPr>
              <w:rPr>
                <w:rFonts w:ascii="Cambria Math" w:hAnsi="Cambria Math"/>
                <w:sz w:val="23"/>
                <w:szCs w:val="23"/>
              </w:rPr>
            </m:ctrlPr>
          </m:sSubPr>
          <m:e>
            <m:r>
              <w:rPr>
                <w:rFonts w:ascii="Cambria Math" w:hAnsi="Cambria Math"/>
                <w:sz w:val="23"/>
                <w:szCs w:val="23"/>
              </w:rPr>
              <m:t>D</m:t>
            </m:r>
          </m:e>
          <m:sub>
            <m:r>
              <w:rPr>
                <w:rFonts w:ascii="Cambria Math" w:hAnsi="Cambria Math"/>
                <w:sz w:val="23"/>
                <w:szCs w:val="23"/>
              </w:rPr>
              <m:t>95</m:t>
            </m:r>
          </m:sub>
        </m:sSub>
      </m:oMath>
      <w:r w:rsidRPr="007D5866">
        <w:rPr>
          <w:sz w:val="23"/>
          <w:szCs w:val="23"/>
        </w:rPr>
        <w:t xml:space="preserve">, concentration at which hit rate </w:t>
      </w:r>
      <m:oMath>
        <m:r>
          <w:rPr>
            <w:rFonts w:ascii="Cambria Math" w:hAnsi="Cambria Math"/>
            <w:sz w:val="23"/>
            <w:szCs w:val="23"/>
          </w:rPr>
          <m:t>p</m:t>
        </m:r>
        <m:r>
          <m:rPr>
            <m:sty m:val="p"/>
          </m:rPr>
          <w:rPr>
            <w:rFonts w:ascii="Cambria Math" w:hAnsi="Cambria Math"/>
            <w:sz w:val="23"/>
            <w:szCs w:val="23"/>
          </w:rPr>
          <m:t>=</m:t>
        </m:r>
        <m:r>
          <w:rPr>
            <w:rFonts w:ascii="Cambria Math" w:hAnsi="Cambria Math"/>
            <w:sz w:val="23"/>
            <w:szCs w:val="23"/>
          </w:rPr>
          <m:t>0.95</m:t>
        </m:r>
      </m:oMath>
      <w:r w:rsidRPr="007D5866">
        <w:rPr>
          <w:sz w:val="23"/>
          <w:szCs w:val="23"/>
        </w:rPr>
        <w:t xml:space="preserve"> under the calibration model; </w:t>
      </w:r>
      <m:oMath>
        <m:sSup>
          <m:sSupPr>
            <m:ctrlPr>
              <w:rPr>
                <w:rFonts w:ascii="Cambria Math" w:hAnsi="Cambria Math"/>
                <w:sz w:val="23"/>
                <w:szCs w:val="23"/>
              </w:rPr>
            </m:ctrlPr>
          </m:sSupPr>
          <m:e>
            <m:r>
              <w:rPr>
                <w:rFonts w:ascii="Cambria Math" w:hAnsi="Cambria Math"/>
                <w:sz w:val="23"/>
                <w:szCs w:val="23"/>
              </w:rPr>
              <m:t>c</m:t>
            </m:r>
          </m:e>
          <m:sup>
            <m:r>
              <m:rPr>
                <m:sty m:val="p"/>
              </m:rPr>
              <w:rPr>
                <w:rFonts w:ascii="Cambria Math" w:hAnsi="Cambria Math"/>
                <w:sz w:val="23"/>
                <w:szCs w:val="23"/>
              </w:rPr>
              <m:t>*</m:t>
            </m:r>
          </m:sup>
        </m:sSup>
      </m:oMath>
      <w:r w:rsidRPr="007D5866">
        <w:rPr>
          <w:sz w:val="23"/>
          <w:szCs w:val="23"/>
        </w:rPr>
        <w:t xml:space="preserve">, protocol verification concentration; </w:t>
      </w:r>
      <m:oMath>
        <m:r>
          <w:rPr>
            <w:rFonts w:ascii="Cambria Math" w:hAnsi="Cambria Math"/>
            <w:sz w:val="23"/>
            <w:szCs w:val="23"/>
          </w:rPr>
          <m:t>p</m:t>
        </m:r>
        <m:r>
          <m:rPr>
            <m:sty m:val="p"/>
          </m:rPr>
          <w:rPr>
            <w:rFonts w:ascii="Cambria Math" w:hAnsi="Cambria Math"/>
            <w:sz w:val="23"/>
            <w:szCs w:val="23"/>
          </w:rPr>
          <m:t>(</m:t>
        </m:r>
        <m:sSup>
          <m:sSupPr>
            <m:ctrlPr>
              <w:rPr>
                <w:rFonts w:ascii="Cambria Math" w:hAnsi="Cambria Math"/>
                <w:sz w:val="23"/>
                <w:szCs w:val="23"/>
              </w:rPr>
            </m:ctrlPr>
          </m:sSupPr>
          <m:e>
            <m:r>
              <w:rPr>
                <w:rFonts w:ascii="Cambria Math" w:hAnsi="Cambria Math"/>
                <w:sz w:val="23"/>
                <w:szCs w:val="23"/>
              </w:rPr>
              <m:t>c</m:t>
            </m:r>
          </m:e>
          <m:sup>
            <m:r>
              <m:rPr>
                <m:sty m:val="p"/>
              </m:rPr>
              <w:rPr>
                <w:rFonts w:ascii="Cambria Math" w:hAnsi="Cambria Math"/>
                <w:sz w:val="23"/>
                <w:szCs w:val="23"/>
              </w:rPr>
              <m:t>*</m:t>
            </m:r>
          </m:sup>
        </m:sSup>
        <m:r>
          <m:rPr>
            <m:sty m:val="p"/>
          </m:rPr>
          <w:rPr>
            <w:rFonts w:ascii="Cambria Math" w:hAnsi="Cambria Math"/>
            <w:sz w:val="23"/>
            <w:szCs w:val="23"/>
          </w:rPr>
          <m:t>)</m:t>
        </m:r>
      </m:oMath>
      <w:r w:rsidRPr="007D5866">
        <w:rPr>
          <w:sz w:val="23"/>
          <w:szCs w:val="23"/>
        </w:rPr>
        <w:t xml:space="preserve">, single-trial detection probability at </w:t>
      </w:r>
      <m:oMath>
        <m:sSup>
          <m:sSupPr>
            <m:ctrlPr>
              <w:rPr>
                <w:rFonts w:ascii="Cambria Math" w:hAnsi="Cambria Math"/>
                <w:sz w:val="23"/>
                <w:szCs w:val="23"/>
              </w:rPr>
            </m:ctrlPr>
          </m:sSupPr>
          <m:e>
            <m:r>
              <w:rPr>
                <w:rFonts w:ascii="Cambria Math" w:hAnsi="Cambria Math"/>
                <w:sz w:val="23"/>
                <w:szCs w:val="23"/>
              </w:rPr>
              <m:t>c</m:t>
            </m:r>
          </m:e>
          <m:sup>
            <m:r>
              <m:rPr>
                <m:sty m:val="p"/>
              </m:rPr>
              <w:rPr>
                <w:rFonts w:ascii="Cambria Math" w:hAnsi="Cambria Math"/>
                <w:sz w:val="23"/>
                <w:szCs w:val="23"/>
              </w:rPr>
              <m:t>*</m:t>
            </m:r>
          </m:sup>
        </m:sSup>
      </m:oMath>
      <w:r w:rsidRPr="007D5866">
        <w:rPr>
          <w:sz w:val="23"/>
          <w:szCs w:val="23"/>
        </w:rPr>
        <w:t xml:space="preserve">; OC, operating characteristic; </w:t>
      </w:r>
      <m:oMath>
        <m:r>
          <w:rPr>
            <w:rFonts w:ascii="Cambria Math" w:hAnsi="Cambria Math"/>
            <w:sz w:val="23"/>
            <w:szCs w:val="23"/>
          </w:rPr>
          <m:t>β</m:t>
        </m:r>
      </m:oMath>
      <w:r w:rsidRPr="007D5866">
        <w:rPr>
          <w:sz w:val="23"/>
          <w:szCs w:val="23"/>
        </w:rPr>
        <w:t xml:space="preserve">, miss probability (Type II error rate); POCT, point of care testing; PCR, polymerase chain reaction; qPCR, quantitative polymerase chain reaction. We use </w:t>
      </w:r>
      <w:r w:rsidRPr="007D5866">
        <w:rPr>
          <w:i/>
          <w:iCs/>
          <w:sz w:val="23"/>
          <w:szCs w:val="23"/>
        </w:rPr>
        <w:t>hit rate</w:t>
      </w:r>
      <w:r w:rsidRPr="007D5866">
        <w:rPr>
          <w:sz w:val="23"/>
          <w:szCs w:val="23"/>
        </w:rPr>
        <w:t xml:space="preserve"> for detection probability </w:t>
      </w:r>
      <m:oMath>
        <m:r>
          <w:rPr>
            <w:rFonts w:ascii="Cambria Math" w:hAnsi="Cambria Math"/>
            <w:sz w:val="23"/>
            <w:szCs w:val="23"/>
          </w:rPr>
          <m:t>p</m:t>
        </m:r>
      </m:oMath>
      <w:r w:rsidRPr="007D5866">
        <w:rPr>
          <w:sz w:val="23"/>
          <w:szCs w:val="23"/>
        </w:rPr>
        <w:t xml:space="preserve"> at </w:t>
      </w:r>
      <m:oMath>
        <m:sSup>
          <m:sSupPr>
            <m:ctrlPr>
              <w:rPr>
                <w:rFonts w:ascii="Cambria Math" w:hAnsi="Cambria Math"/>
                <w:sz w:val="23"/>
                <w:szCs w:val="23"/>
              </w:rPr>
            </m:ctrlPr>
          </m:sSupPr>
          <m:e>
            <m:r>
              <w:rPr>
                <w:rFonts w:ascii="Cambria Math" w:hAnsi="Cambria Math"/>
                <w:sz w:val="23"/>
                <w:szCs w:val="23"/>
              </w:rPr>
              <m:t>c</m:t>
            </m:r>
          </m:e>
          <m:sup>
            <m:r>
              <m:rPr>
                <m:sty m:val="p"/>
              </m:rPr>
              <w:rPr>
                <w:rFonts w:ascii="Cambria Math" w:hAnsi="Cambria Math"/>
                <w:sz w:val="23"/>
                <w:szCs w:val="23"/>
              </w:rPr>
              <m:t>*</m:t>
            </m:r>
          </m:sup>
        </m:sSup>
      </m:oMath>
      <w:r w:rsidRPr="007D5866">
        <w:rPr>
          <w:sz w:val="23"/>
          <w:szCs w:val="23"/>
        </w:rPr>
        <w:t xml:space="preserve">; </w:t>
      </w:r>
      <w:r w:rsidRPr="007D5866">
        <w:rPr>
          <w:i/>
          <w:iCs/>
          <w:sz w:val="23"/>
          <w:szCs w:val="23"/>
        </w:rPr>
        <w:t>detection claim</w:t>
      </w:r>
      <w:r w:rsidRPr="007D5866">
        <w:rPr>
          <w:sz w:val="23"/>
          <w:szCs w:val="23"/>
        </w:rPr>
        <w:t xml:space="preserve"> for the protocol statement being verified; </w:t>
      </w:r>
      <w:r w:rsidRPr="007D5866">
        <w:rPr>
          <w:i/>
          <w:iCs/>
          <w:sz w:val="23"/>
          <w:szCs w:val="23"/>
        </w:rPr>
        <w:t xml:space="preserve">conventional SOP that fixes </w:t>
      </w:r>
      <m:oMath>
        <m:r>
          <w:rPr>
            <w:rFonts w:ascii="Cambria Math" w:hAnsi="Cambria Math"/>
            <w:sz w:val="23"/>
            <w:szCs w:val="23"/>
          </w:rPr>
          <m:t>n</m:t>
        </m:r>
      </m:oMath>
      <w:r w:rsidRPr="007D5866">
        <w:rPr>
          <w:sz w:val="23"/>
          <w:szCs w:val="23"/>
        </w:rPr>
        <w:t xml:space="preserve"> for local practice with </w:t>
      </w:r>
      <m:oMath>
        <m:r>
          <w:rPr>
            <w:rFonts w:ascii="Cambria Math" w:hAnsi="Cambria Math"/>
            <w:sz w:val="23"/>
            <w:szCs w:val="23"/>
          </w:rPr>
          <m:t>n</m:t>
        </m:r>
        <m:r>
          <m:rPr>
            <m:sty m:val="p"/>
          </m:rPr>
          <w:rPr>
            <w:rFonts w:ascii="Cambria Math" w:hAnsi="Cambria Math"/>
            <w:sz w:val="23"/>
            <w:szCs w:val="23"/>
          </w:rPr>
          <m:t>≈</m:t>
        </m:r>
        <m:r>
          <w:rPr>
            <w:rFonts w:ascii="Cambria Math" w:hAnsi="Cambria Math"/>
            <w:sz w:val="23"/>
            <w:szCs w:val="23"/>
          </w:rPr>
          <m:t>20</m:t>
        </m:r>
      </m:oMath>
      <w:r w:rsidRPr="007D5866">
        <w:rPr>
          <w:sz w:val="23"/>
          <w:szCs w:val="23"/>
        </w:rPr>
        <w:t xml:space="preserve"> without OC planning; </w:t>
      </w:r>
      <w:r w:rsidRPr="007D5866">
        <w:rPr>
          <w:i/>
          <w:iCs/>
          <w:sz w:val="23"/>
          <w:szCs w:val="23"/>
        </w:rPr>
        <w:t>online Supplement</w:t>
      </w:r>
      <w:r w:rsidRPr="007D5866">
        <w:rPr>
          <w:sz w:val="23"/>
          <w:szCs w:val="23"/>
        </w:rPr>
        <w:t xml:space="preserve"> for supplementary tables and CSVs.</w:t>
      </w:r>
    </w:p>
    <w:p w14:paraId="4E7A0487" w14:textId="77777777" w:rsidR="00FA3078" w:rsidRPr="007D5866" w:rsidRDefault="007A1461" w:rsidP="007D5866">
      <w:pPr>
        <w:pStyle w:val="Heading2"/>
        <w:contextualSpacing/>
        <w:rPr>
          <w:rFonts w:ascii="Times New Roman" w:hAnsi="Times New Roman" w:cs="Times New Roman"/>
          <w:sz w:val="23"/>
          <w:szCs w:val="23"/>
        </w:rPr>
      </w:pPr>
      <w:bookmarkStart w:id="0" w:name="abstract"/>
      <w:r w:rsidRPr="007D5866">
        <w:rPr>
          <w:rFonts w:ascii="Times New Roman" w:hAnsi="Times New Roman" w:cs="Times New Roman"/>
          <w:sz w:val="23"/>
          <w:szCs w:val="23"/>
        </w:rPr>
        <w:t>Abstract</w:t>
      </w:r>
    </w:p>
    <w:p>
      <w:pPr>
        <w:pStyle w:val="NormalWeb"/>
        <w:contextualSpacing/>
      </w:pPr>
      <w:r>
        <w:t xml:space="preserve">Background. Twenty-replicate designs are common for low-concentration and reagent-lot verification, yet a fixed replicate count does not ensure adequate power for a prespecified claim. CLSI EP17-A2 defines detection capability in terms of detection probability and does not establish 20 as a universal sample size. We quantified operating characteristics of fixed-size designs for binary hit-rate claims and scored a convenience sample of archived records.</w:t>
      </w:r>
    </w:p>
    <w:p>
      <w:pPr>
        <w:pStyle w:val="NormalWeb"/>
        <w:contextualSpacing/>
      </w:pPr>
      <w:r>
        <w:t xml:space="preserve">Methods. Exact binomial methods supplied sample-size requirements for three hit-rate detection claims. Power was mapped over 1,225 equally spaced detection-probability pairs (50%-99%), a design lattice rather than a survey of laboratory lot differences. Ten archived validation protocols and 16 verification records were scored against author-specified operating characteristics (α=0.05; 80% power). No source document stated that power target.</w:t>
      </w:r>
    </w:p>
    <w:p>
      <w:pPr>
        <w:pStyle w:val="NormalWeb"/>
        <w:contextualSpacing/>
      </w:pPr>
      <w:r>
        <w:t xml:space="preserve">Results. At 20 replicates per arm, β exceeded 0.80 (power &lt;0.20) in 61% of lattice cells, including every cell with a ≤10 percentage-point gap. As a 10-point worked example (90%/80%), power was about 0.07 and n*≈199 per arm. A 19-of-20 rule at true p=0.95 had pass probability 73.6%. Nine of 10 archived protocols needed more than 20 replicates under those targets (ratios 2.65-9.95).</w:t>
      </w:r>
    </w:p>
    <w:p>
      <w:pPr>
        <w:pStyle w:val="NormalWeb"/>
        <w:contextualSpacing/>
      </w:pPr>
      <w:r>
        <w:t xml:space="preserve">Conclusions. A fixed replicate count may miss the operating characteristics implied by a written claim. Set n from the claim, acceptance rule, and desired power before testing. If that n is impractical, rewrite the claim, set a margin, or report exact power at the n that will be used.</w:t>
      </w:r>
    </w:p>
    <w:p w14:paraId="31EED455" w14:textId="77777777" w:rsidR="00FA3078" w:rsidRPr="007D5866" w:rsidRDefault="007A1461" w:rsidP="007D5866">
      <w:pPr>
        <w:pStyle w:val="Heading2"/>
        <w:contextualSpacing/>
        <w:rPr>
          <w:rFonts w:ascii="Times New Roman" w:hAnsi="Times New Roman" w:cs="Times New Roman"/>
          <w:sz w:val="23"/>
          <w:szCs w:val="23"/>
        </w:rPr>
      </w:pPr>
      <w:bookmarkStart w:id="1" w:name="introduction"/>
      <w:bookmarkEnd w:id="0"/>
      <w:r w:rsidRPr="007D5866">
        <w:rPr>
          <w:rFonts w:ascii="Times New Roman" w:hAnsi="Times New Roman" w:cs="Times New Roman"/>
          <w:sz w:val="23"/>
          <w:szCs w:val="23"/>
        </w:rPr>
        <w:t>Introduction</w:t>
      </w:r>
    </w:p>
    <w:p>
      <w:pPr>
        <w:pStyle w:val="NormalWeb"/>
        <w:contextualSpacing/>
      </w:pPr>
      <w:r>
        <w:t xml:space="preserve">Fixed worksheets and about 20 replicates remain common when laboratories verify low-end analytical performance or reagent-lot changes, even if the written claims differ. CLSI EP17-A2 frames verification of detection capability, including the limit of detection (LoD), and CLSI EP26 covers acceptance of a new reagent lot.[1,2] Neither guide supplies one powered sample size for every procedure. Manufacturers often use about 60 replicates to establish LoD, whereas laboratories commonly verify with about 20 (Armbruster and Pry).[3] That manufacturer-laboratory contrast describes practice; it is not a claim-specific design rule. We limit the analysis to binary hit-rate claims. Each replicate is scored detected or not at a verification concentration. Blank-standard-deviation LoB/LoD pathways, probit or logit concentration estimation, and EP26 quantitative lot-difference tests fall outside this sizing problem.</w:t>
      </w:r>
    </w:p>
    <w:p>
      <w:pPr>
        <w:pStyle w:val="NormalWeb"/>
        <w:contextualSpacing/>
      </w:pPr>
      <w:r>
        <w:t xml:space="preserve">An LoD is commonly the concentration tied to a specified detection probability, often 95%.[1,3-5] Assay performance and study operating characteristics are separate quantities. Whether a finite verification run supports or rejects the written claim depends on sample size, the acceptance rule, the nominal error rate, and the alternative detection probability. Linnet and Kondratovich treated LoD estimation when Gaussian blank assumptions fail.[4] Vaks et al. showed that pass probability for claimed-LoD verification depends on replicate number, and that failure to reject a claim does not prove the claimed LoD has been met.[5] Their setting was single-method confirmation; two-arm hit-rate comparisons between lots or reagents were not enumerated.</w:t>
      </w:r>
    </w:p>
    <w:p>
      <w:pPr>
        <w:pStyle w:val="NormalWeb"/>
        <w:contextualSpacing/>
      </w:pPr>
      <w:r>
        <w:t xml:space="preserve">Protocol language that a new lot is “equivalent” to a reference lot at the claimed LoD is a comparison of detection probabilities. It is neither a single-arm 95% benchmark nor a 19-of-20 pass rule. If the true rates were 90% and 80%, exact Fisher power at 20 replicates per arm is about 0.07, and about 199 replicates per arm are needed for 80% power. A 19-of-20 positivity rule likewise scores an observed count, not confirmation of a 95% detection probability. Quantitative reagent-lot studies have already shown that fixed laboratory protocols can miss lot differences, and that EP26-type requirements vary by analyte.[6-8] We therefore enumerated exact operating characteristics for conventional n=20 on a 50%-99% equally spaced detection-probability lattice. The lattice is a design grid, not a survey of how often laboratory lot differences fall in each band. Archived validation files were then scored, in a convenience sample, against author-specified operating characteristics rather than against power targets written in those files.</w:t>
      </w:r>
    </w:p>
    <w:p w14:paraId="468AB8AB" w14:textId="77777777" w:rsidR="002D6FDB" w:rsidRPr="007D5866" w:rsidRDefault="002D6FDB" w:rsidP="007D5866">
      <w:pPr>
        <w:pStyle w:val="Heading2"/>
        <w:contextualSpacing/>
        <w:rPr>
          <w:rFonts w:ascii="Times New Roman" w:hAnsi="Times New Roman" w:cs="Times New Roman"/>
          <w:sz w:val="23"/>
          <w:szCs w:val="23"/>
        </w:rPr>
      </w:pPr>
      <w:bookmarkStart w:id="2" w:name="public-data-sources-and-reproducibility"/>
      <w:bookmarkEnd w:id="1"/>
      <w:r w:rsidRPr="007D5866">
        <w:rPr>
          <w:rFonts w:ascii="Times New Roman" w:hAnsi="Times New Roman" w:cs="Times New Roman"/>
          <w:sz w:val="23"/>
          <w:szCs w:val="23"/>
        </w:rPr>
        <w:t>Methods</w:t>
      </w:r>
    </w:p>
    <w:p>
      <w:pPr>
        <w:pStyle w:val="NormalWeb"/>
        <w:contextualSpacing/>
      </w:pPr>
      <w:r>
        <w:t xml:space="preserve">Study Design and Definition of Detection Claims</w:t>
      </w:r>
    </w:p>
    <w:p>
      <w:pPr>
        <w:pStyle w:val="NormalWeb"/>
        <w:contextualSpacing/>
      </w:pPr>
      <w:r>
        <w:t xml:space="preserve">Binary hit-rate detection verification was analyzed with a prespecified computational sample-size plan and then applied to archived validation records. We did not execute a redesigned protocol on a prospective specimen panel. Replicates were independent Bernoulli trials (detected or not). Continuous EP17 LoB/LoD estimators and EP26 quantitative lot tests stayed out of scope. Work was organized by three study-specific claim structures: benchmark confirmation, two-arm difference testing, and qualitative pass criteria. Those labels name inferential structure, not CLSI nomenclature.</w:t>
      </w:r>
    </w:p>
    <w:p>
      <w:pPr>
        <w:pStyle w:val="NormalWeb"/>
        <w:contextualSpacing/>
      </w:pPr>
      <w:r>
        <w:t xml:space="preserve">For benchmark confirmation, detection probability at a verification concentration c* was compared with a benchmark p₀ (typically 0.95). Estimand: p(c*). We treated the claim as supported when the lower one-sided 95% Clopper-Pearson confidence limit for p(c*) reached at least p₀. That confirmation rule is study-specific. It is not a restatement of EP17-A2 decision criteria. Power equaled the chance of meeting that criterion under a prespecified alternative p_alt. If an archived protocol omitted an alternative, we scored its exact operating characteristic and did not invent an unreported power target. The 80% power target used throughout is an author-specified operating characteristic (Table 1), not a requirement quoted from the source documents.</w:t>
      </w:r>
    </w:p>
    <w:p>
      <w:pPr>
        <w:pStyle w:val="NormalWeb"/>
        <w:contextualSpacing/>
      </w:pPr>
      <w:r>
        <w:t xml:space="preserve">Two-arm difference testing concerned lot-to-lot or material-to-material differences in detection probability at the LoD. The estimand was θ₂ = p_A(c*) − p_B(c*). The primary test was 2-sided Fisher exact of H₀: θ₂=0 at α=0.05, with power defined as the probability of rejecting H₀ under a prespecified pair (p_A, p_B). Equal allocation was used for the primary lattice. A written “equivalent” was treated as formal equivalence only when a margin was explicit. “No significant lot difference” was scored as a discrimination claim, not as equivalence inferred from a nonsignificant p-value.</w:t>
      </w:r>
    </w:p>
    <w:p>
      <w:pPr>
        <w:pStyle w:val="NormalWeb"/>
        <w:contextualSpacing/>
      </w:pPr>
      <w:r>
        <w:t xml:space="preserve">Qualitative pass criteria were fixed acceptance rules such as at least k positives among n replicates (commonly 19 of 20). The operating characteristic was the binomial pass probability P(X≥k|n,p), kept separate from benchmark confirmation. Primary assumptions were independent replicates, α=0.05, and 80% target power (β=0.20). Required sample size was the smallest integer meeting the prespecified operating characteristic; for two-arm comparisons, n* is the per-arm requirement.</w:t>
      </w:r>
    </w:p>
    <w:p>
      <w:pPr>
        <w:pStyle w:val="NormalWeb"/>
        <w:contextualSpacing/>
      </w:pPr>
      <w:r>
        <w:t xml:space="preserve">Sample Size Planning and Exact Operating Characteristics</w:t>
      </w:r>
    </w:p>
    <w:p>
      <w:pPr>
        <w:pStyle w:val="NormalWeb"/>
        <w:contextualSpacing/>
      </w:pPr>
      <w:r>
        <w:t xml:space="preserve">Sample-size planning used an asymptotic approximation followed by exact enumeration. For equal-allocation two-arm comparisons, the initial approximation (Eq. 2) was:</w:t>
      </w:r>
    </w:p>
    <w:p w14:paraId="60ACE454" w14:textId="77777777" w:rsidR="002D6FDB" w:rsidRPr="007D5866" w:rsidRDefault="002D6FDB" w:rsidP="007D5866">
      <w:pPr>
        <w:contextualSpacing/>
        <w:rPr>
          <w:sz w:val="23"/>
          <w:szCs w:val="23"/>
        </w:rPr>
      </w:pPr>
      <m:oMathPara>
        <m:oMath>
          <m:sSub>
            <m:sSubPr>
              <m:ctrlPr>
                <w:rPr>
                  <w:rFonts w:ascii="Cambria Math" w:hAnsi="Cambria Math"/>
                  <w:sz w:val="23"/>
                  <w:szCs w:val="23"/>
                </w:rPr>
              </m:ctrlPr>
            </m:sSubPr>
            <m:e>
              <m:r>
                <w:rPr>
                  <w:rFonts w:ascii="Cambria Math" w:hAnsi="Cambria Math"/>
                  <w:sz w:val="23"/>
                  <w:szCs w:val="23"/>
                </w:rPr>
                <m:t>n</m:t>
              </m:r>
            </m:e>
            <m:sub>
              <m:r>
                <m:rPr>
                  <m:sty m:val="p"/>
                </m:rPr>
                <w:rPr>
                  <w:rFonts w:ascii="Cambria Math" w:hAnsi="Cambria Math"/>
                  <w:sz w:val="23"/>
                  <w:szCs w:val="23"/>
                </w:rPr>
                <m:t>approx</m:t>
              </m:r>
            </m:sub>
          </m:sSub>
          <m:r>
            <w:rPr>
              <w:rFonts w:ascii="Cambria Math" w:hAnsi="Cambria Math"/>
              <w:sz w:val="23"/>
              <w:szCs w:val="23"/>
            </w:rPr>
            <m:t>=</m:t>
          </m:r>
          <m:f>
            <m:fPr>
              <m:ctrlPr>
                <w:rPr>
                  <w:rFonts w:ascii="Cambria Math" w:hAnsi="Cambria Math"/>
                  <w:sz w:val="23"/>
                  <w:szCs w:val="23"/>
                </w:rPr>
              </m:ctrlPr>
            </m:fPr>
            <m:num>
              <m:sSup>
                <m:sSupPr>
                  <m:ctrlPr>
                    <w:rPr>
                      <w:rFonts w:ascii="Cambria Math" w:hAnsi="Cambria Math"/>
                      <w:sz w:val="23"/>
                      <w:szCs w:val="23"/>
                    </w:rPr>
                  </m:ctrlPr>
                </m:sSupPr>
                <m:e>
                  <m:d>
                    <m:dPr>
                      <m:begChr m:val="["/>
                      <m:endChr m:val="]"/>
                      <m:ctrlPr>
                        <w:rPr>
                          <w:rFonts w:ascii="Cambria Math" w:hAnsi="Cambria Math"/>
                          <w:sz w:val="23"/>
                          <w:szCs w:val="23"/>
                        </w:rPr>
                      </m:ctrlPr>
                    </m:dPr>
                    <m:e>
                      <m:sSub>
                        <m:sSubPr>
                          <m:ctrlPr>
                            <w:rPr>
                              <w:rFonts w:ascii="Cambria Math" w:hAnsi="Cambria Math"/>
                              <w:sz w:val="23"/>
                              <w:szCs w:val="23"/>
                            </w:rPr>
                          </m:ctrlPr>
                        </m:sSubPr>
                        <m:e>
                          <m:r>
                            <w:rPr>
                              <w:rFonts w:ascii="Cambria Math" w:hAnsi="Cambria Math"/>
                              <w:sz w:val="23"/>
                              <w:szCs w:val="23"/>
                            </w:rPr>
                            <m:t>z</m:t>
                          </m:r>
                        </m:e>
                        <m:sub>
                          <m:r>
                            <w:rPr>
                              <w:rFonts w:ascii="Cambria Math" w:hAnsi="Cambria Math"/>
                              <w:sz w:val="23"/>
                              <w:szCs w:val="23"/>
                            </w:rPr>
                            <m:t>1-α/2</m:t>
                          </m:r>
                        </m:sub>
                      </m:sSub>
                      <m:rad>
                        <m:radPr>
                          <m:degHide m:val="1"/>
                          <m:ctrlPr>
                            <w:rPr>
                              <w:rFonts w:ascii="Cambria Math" w:hAnsi="Cambria Math"/>
                              <w:sz w:val="23"/>
                              <w:szCs w:val="23"/>
                            </w:rPr>
                          </m:ctrlPr>
                        </m:radPr>
                        <m:deg/>
                        <m:e>
                          <m:r>
                            <w:rPr>
                              <w:rFonts w:ascii="Cambria Math" w:hAnsi="Cambria Math"/>
                              <w:sz w:val="23"/>
                              <w:szCs w:val="23"/>
                            </w:rPr>
                            <m:t>2</m:t>
                          </m:r>
                          <m:acc>
                            <m:accPr>
                              <m:chr m:val="̅"/>
                              <m:ctrlPr>
                                <w:rPr>
                                  <w:rFonts w:ascii="Cambria Math" w:hAnsi="Cambria Math"/>
                                  <w:sz w:val="23"/>
                                  <w:szCs w:val="23"/>
                                </w:rPr>
                              </m:ctrlPr>
                            </m:accPr>
                            <m:e>
                              <m:r>
                                <w:rPr>
                                  <w:rFonts w:ascii="Cambria Math" w:hAnsi="Cambria Math"/>
                                  <w:sz w:val="23"/>
                                  <w:szCs w:val="23"/>
                                </w:rPr>
                                <m:t>p</m:t>
                              </m:r>
                            </m:e>
                          </m:acc>
                          <m:d>
                            <m:dPr>
                              <m:ctrlPr>
                                <w:rPr>
                                  <w:rFonts w:ascii="Cambria Math" w:hAnsi="Cambria Math"/>
                                  <w:sz w:val="23"/>
                                  <w:szCs w:val="23"/>
                                </w:rPr>
                              </m:ctrlPr>
                            </m:dPr>
                            <m:e>
                              <m:r>
                                <w:rPr>
                                  <w:rFonts w:ascii="Cambria Math" w:hAnsi="Cambria Math"/>
                                  <w:sz w:val="23"/>
                                  <w:szCs w:val="23"/>
                                </w:rPr>
                                <m:t>1-</m:t>
                              </m:r>
                              <m:acc>
                                <m:accPr>
                                  <m:chr m:val="̅"/>
                                  <m:ctrlPr>
                                    <w:rPr>
                                      <w:rFonts w:ascii="Cambria Math" w:hAnsi="Cambria Math"/>
                                      <w:sz w:val="23"/>
                                      <w:szCs w:val="23"/>
                                    </w:rPr>
                                  </m:ctrlPr>
                                </m:accPr>
                                <m:e>
                                  <m:r>
                                    <w:rPr>
                                      <w:rFonts w:ascii="Cambria Math" w:hAnsi="Cambria Math"/>
                                      <w:sz w:val="23"/>
                                      <w:szCs w:val="23"/>
                                    </w:rPr>
                                    <m:t>p</m:t>
                                  </m:r>
                                </m:e>
                              </m:acc>
                            </m:e>
                          </m:d>
                        </m:e>
                      </m:rad>
                      <m:r>
                        <w:rPr>
                          <w:rFonts w:ascii="Cambria Math" w:hAnsi="Cambria Math"/>
                          <w:sz w:val="23"/>
                          <w:szCs w:val="23"/>
                        </w:rPr>
                        <m:t>+</m:t>
                      </m:r>
                      <m:sSub>
                        <m:sSubPr>
                          <m:ctrlPr>
                            <w:rPr>
                              <w:rFonts w:ascii="Cambria Math" w:hAnsi="Cambria Math"/>
                              <w:sz w:val="23"/>
                              <w:szCs w:val="23"/>
                            </w:rPr>
                          </m:ctrlPr>
                        </m:sSubPr>
                        <m:e>
                          <m:r>
                            <w:rPr>
                              <w:rFonts w:ascii="Cambria Math" w:hAnsi="Cambria Math"/>
                              <w:sz w:val="23"/>
                              <w:szCs w:val="23"/>
                            </w:rPr>
                            <m:t>z</m:t>
                          </m:r>
                        </m:e>
                        <m:sub>
                          <m:r>
                            <w:rPr>
                              <w:rFonts w:ascii="Cambria Math" w:hAnsi="Cambria Math"/>
                              <w:sz w:val="23"/>
                              <w:szCs w:val="23"/>
                            </w:rPr>
                            <m:t>1-β</m:t>
                          </m:r>
                        </m:sub>
                      </m:sSub>
                      <m:rad>
                        <m:radPr>
                          <m:degHide m:val="1"/>
                          <m:ctrlPr>
                            <w:rPr>
                              <w:rFonts w:ascii="Cambria Math" w:hAnsi="Cambria Math"/>
                              <w:sz w:val="23"/>
                              <w:szCs w:val="23"/>
                            </w:rPr>
                          </m:ctrlPr>
                        </m:radPr>
                        <m:deg/>
                        <m:e>
                          <m:sSub>
                            <m:sSubPr>
                              <m:ctrlPr>
                                <w:rPr>
                                  <w:rFonts w:ascii="Cambria Math" w:hAnsi="Cambria Math"/>
                                  <w:sz w:val="23"/>
                                  <w:szCs w:val="23"/>
                                </w:rPr>
                              </m:ctrlPr>
                            </m:sSubPr>
                            <m:e>
                              <m:r>
                                <w:rPr>
                                  <w:rFonts w:ascii="Cambria Math" w:hAnsi="Cambria Math"/>
                                  <w:sz w:val="23"/>
                                  <w:szCs w:val="23"/>
                                </w:rPr>
                                <m:t>p</m:t>
                              </m:r>
                            </m:e>
                            <m:sub>
                              <m:r>
                                <w:rPr>
                                  <w:rFonts w:ascii="Cambria Math" w:hAnsi="Cambria Math"/>
                                  <w:sz w:val="23"/>
                                  <w:szCs w:val="23"/>
                                </w:rPr>
                                <m:t>A</m:t>
                              </m:r>
                            </m:sub>
                          </m:sSub>
                          <m:d>
                            <m:dPr>
                              <m:ctrlPr>
                                <w:rPr>
                                  <w:rFonts w:ascii="Cambria Math" w:hAnsi="Cambria Math"/>
                                  <w:sz w:val="23"/>
                                  <w:szCs w:val="23"/>
                                </w:rPr>
                              </m:ctrlPr>
                            </m:dPr>
                            <m:e>
                              <m:r>
                                <w:rPr>
                                  <w:rFonts w:ascii="Cambria Math" w:hAnsi="Cambria Math"/>
                                  <w:sz w:val="23"/>
                                  <w:szCs w:val="23"/>
                                </w:rPr>
                                <m:t>1-</m:t>
                              </m:r>
                              <m:sSub>
                                <m:sSubPr>
                                  <m:ctrlPr>
                                    <w:rPr>
                                      <w:rFonts w:ascii="Cambria Math" w:hAnsi="Cambria Math"/>
                                      <w:sz w:val="23"/>
                                      <w:szCs w:val="23"/>
                                    </w:rPr>
                                  </m:ctrlPr>
                                </m:sSubPr>
                                <m:e>
                                  <m:r>
                                    <w:rPr>
                                      <w:rFonts w:ascii="Cambria Math" w:hAnsi="Cambria Math"/>
                                      <w:sz w:val="23"/>
                                      <w:szCs w:val="23"/>
                                    </w:rPr>
                                    <m:t>p</m:t>
                                  </m:r>
                                </m:e>
                                <m:sub>
                                  <m:r>
                                    <w:rPr>
                                      <w:rFonts w:ascii="Cambria Math" w:hAnsi="Cambria Math"/>
                                      <w:sz w:val="23"/>
                                      <w:szCs w:val="23"/>
                                    </w:rPr>
                                    <m:t>A</m:t>
                                  </m:r>
                                </m:sub>
                              </m:sSub>
                            </m:e>
                          </m:d>
                          <m:r>
                            <w:rPr>
                              <w:rFonts w:ascii="Cambria Math" w:hAnsi="Cambria Math"/>
                              <w:sz w:val="23"/>
                              <w:szCs w:val="23"/>
                            </w:rPr>
                            <m:t>+</m:t>
                          </m:r>
                          <m:sSub>
                            <m:sSubPr>
                              <m:ctrlPr>
                                <w:rPr>
                                  <w:rFonts w:ascii="Cambria Math" w:hAnsi="Cambria Math"/>
                                  <w:sz w:val="23"/>
                                  <w:szCs w:val="23"/>
                                </w:rPr>
                              </m:ctrlPr>
                            </m:sSubPr>
                            <m:e>
                              <m:r>
                                <w:rPr>
                                  <w:rFonts w:ascii="Cambria Math" w:hAnsi="Cambria Math"/>
                                  <w:sz w:val="23"/>
                                  <w:szCs w:val="23"/>
                                </w:rPr>
                                <m:t>p</m:t>
                              </m:r>
                            </m:e>
                            <m:sub>
                              <m:r>
                                <w:rPr>
                                  <w:rFonts w:ascii="Cambria Math" w:hAnsi="Cambria Math"/>
                                  <w:sz w:val="23"/>
                                  <w:szCs w:val="23"/>
                                </w:rPr>
                                <m:t>B</m:t>
                              </m:r>
                            </m:sub>
                          </m:sSub>
                          <m:d>
                            <m:dPr>
                              <m:ctrlPr>
                                <w:rPr>
                                  <w:rFonts w:ascii="Cambria Math" w:hAnsi="Cambria Math"/>
                                  <w:sz w:val="23"/>
                                  <w:szCs w:val="23"/>
                                </w:rPr>
                              </m:ctrlPr>
                            </m:dPr>
                            <m:e>
                              <m:r>
                                <w:rPr>
                                  <w:rFonts w:ascii="Cambria Math" w:hAnsi="Cambria Math"/>
                                  <w:sz w:val="23"/>
                                  <w:szCs w:val="23"/>
                                </w:rPr>
                                <m:t>1-</m:t>
                              </m:r>
                              <m:sSub>
                                <m:sSubPr>
                                  <m:ctrlPr>
                                    <w:rPr>
                                      <w:rFonts w:ascii="Cambria Math" w:hAnsi="Cambria Math"/>
                                      <w:sz w:val="23"/>
                                      <w:szCs w:val="23"/>
                                    </w:rPr>
                                  </m:ctrlPr>
                                </m:sSubPr>
                                <m:e>
                                  <m:r>
                                    <w:rPr>
                                      <w:rFonts w:ascii="Cambria Math" w:hAnsi="Cambria Math"/>
                                      <w:sz w:val="23"/>
                                      <w:szCs w:val="23"/>
                                    </w:rPr>
                                    <m:t>p</m:t>
                                  </m:r>
                                </m:e>
                                <m:sub>
                                  <m:r>
                                    <w:rPr>
                                      <w:rFonts w:ascii="Cambria Math" w:hAnsi="Cambria Math"/>
                                      <w:sz w:val="23"/>
                                      <w:szCs w:val="23"/>
                                    </w:rPr>
                                    <m:t>B</m:t>
                                  </m:r>
                                </m:sub>
                              </m:sSub>
                            </m:e>
                          </m:d>
                        </m:e>
                      </m:rad>
                    </m:e>
                  </m:d>
                </m:e>
                <m:sup>
                  <m:r>
                    <w:rPr>
                      <w:rFonts w:ascii="Cambria Math" w:hAnsi="Cambria Math"/>
                      <w:sz w:val="23"/>
                      <w:szCs w:val="23"/>
                    </w:rPr>
                    <m:t>2</m:t>
                  </m:r>
                </m:sup>
              </m:sSup>
            </m:num>
            <m:den>
              <m:sSup>
                <m:sSupPr>
                  <m:ctrlPr>
                    <w:rPr>
                      <w:rFonts w:ascii="Cambria Math" w:hAnsi="Cambria Math"/>
                      <w:sz w:val="23"/>
                      <w:szCs w:val="23"/>
                    </w:rPr>
                  </m:ctrlPr>
                </m:sSupPr>
                <m:e>
                  <m:d>
                    <m:dPr>
                      <m:ctrlPr>
                        <w:rPr>
                          <w:rFonts w:ascii="Cambria Math" w:hAnsi="Cambria Math"/>
                          <w:sz w:val="23"/>
                          <w:szCs w:val="23"/>
                        </w:rPr>
                      </m:ctrlPr>
                    </m:dPr>
                    <m:e>
                      <m:sSub>
                        <m:sSubPr>
                          <m:ctrlPr>
                            <w:rPr>
                              <w:rFonts w:ascii="Cambria Math" w:hAnsi="Cambria Math"/>
                              <w:sz w:val="23"/>
                              <w:szCs w:val="23"/>
                            </w:rPr>
                          </m:ctrlPr>
                        </m:sSubPr>
                        <m:e>
                          <m:r>
                            <w:rPr>
                              <w:rFonts w:ascii="Cambria Math" w:hAnsi="Cambria Math"/>
                              <w:sz w:val="23"/>
                              <w:szCs w:val="23"/>
                            </w:rPr>
                            <m:t>p</m:t>
                          </m:r>
                        </m:e>
                        <m:sub>
                          <m:r>
                            <w:rPr>
                              <w:rFonts w:ascii="Cambria Math" w:hAnsi="Cambria Math"/>
                              <w:sz w:val="23"/>
                              <w:szCs w:val="23"/>
                            </w:rPr>
                            <m:t>A</m:t>
                          </m:r>
                        </m:sub>
                      </m:sSub>
                      <m:r>
                        <w:rPr>
                          <w:rFonts w:ascii="Cambria Math" w:hAnsi="Cambria Math"/>
                          <w:sz w:val="23"/>
                          <w:szCs w:val="23"/>
                        </w:rPr>
                        <m:t>-</m:t>
                      </m:r>
                      <m:sSub>
                        <m:sSubPr>
                          <m:ctrlPr>
                            <w:rPr>
                              <w:rFonts w:ascii="Cambria Math" w:hAnsi="Cambria Math"/>
                              <w:sz w:val="23"/>
                              <w:szCs w:val="23"/>
                            </w:rPr>
                          </m:ctrlPr>
                        </m:sSubPr>
                        <m:e>
                          <m:r>
                            <w:rPr>
                              <w:rFonts w:ascii="Cambria Math" w:hAnsi="Cambria Math"/>
                              <w:sz w:val="23"/>
                              <w:szCs w:val="23"/>
                            </w:rPr>
                            <m:t>p</m:t>
                          </m:r>
                        </m:e>
                        <m:sub>
                          <m:r>
                            <w:rPr>
                              <w:rFonts w:ascii="Cambria Math" w:hAnsi="Cambria Math"/>
                              <w:sz w:val="23"/>
                              <w:szCs w:val="23"/>
                            </w:rPr>
                            <m:t>B</m:t>
                          </m:r>
                        </m:sub>
                      </m:sSub>
                    </m:e>
                  </m:d>
                </m:e>
                <m:sup>
                  <m:r>
                    <w:rPr>
                      <w:rFonts w:ascii="Cambria Math" w:hAnsi="Cambria Math"/>
                      <w:sz w:val="23"/>
                      <w:szCs w:val="23"/>
                    </w:rPr>
                    <m:t>2</m:t>
                  </m:r>
                </m:sup>
              </m:sSup>
            </m:den>
          </m:f>
          <m:r>
            <w:rPr>
              <w:rFonts w:ascii="Cambria Math" w:hAnsi="Cambria Math"/>
              <w:sz w:val="23"/>
              <w:szCs w:val="23"/>
            </w:rPr>
            <m:t>,</m:t>
          </m:r>
        </m:oMath>
      </m:oMathPara>
    </w:p>
    <w:p>
      <w:pPr>
        <w:pStyle w:val="NormalWeb"/>
        <w:contextualSpacing/>
      </w:pPr>
      <w:r>
        <w:t xml:space="preserve">where</w:t>
      </w:r>
    </w:p>
    <w:p w14:paraId="651345CF" w14:textId="77777777" w:rsidR="002D6FDB" w:rsidRPr="007D5866" w:rsidRDefault="002D6FDB" w:rsidP="007D5866">
      <w:pPr>
        <w:contextualSpacing/>
        <w:rPr>
          <w:sz w:val="23"/>
          <w:szCs w:val="23"/>
        </w:rPr>
      </w:pPr>
      <m:oMathPara>
        <m:oMath>
          <m:acc>
            <m:accPr>
              <m:chr m:val="̅"/>
              <m:ctrlPr>
                <w:rPr>
                  <w:rFonts w:ascii="Cambria Math" w:hAnsi="Cambria Math"/>
                  <w:sz w:val="23"/>
                  <w:szCs w:val="23"/>
                </w:rPr>
              </m:ctrlPr>
            </m:accPr>
            <m:e>
              <m:r>
                <w:rPr>
                  <w:rFonts w:ascii="Cambria Math" w:hAnsi="Cambria Math"/>
                  <w:sz w:val="23"/>
                  <w:szCs w:val="23"/>
                </w:rPr>
                <m:t>p</m:t>
              </m:r>
            </m:e>
          </m:acc>
          <m:r>
            <w:rPr>
              <w:rFonts w:ascii="Cambria Math" w:hAnsi="Cambria Math"/>
              <w:sz w:val="23"/>
              <w:szCs w:val="23"/>
            </w:rPr>
            <m:t>=</m:t>
          </m:r>
          <m:d>
            <m:dPr>
              <m:ctrlPr>
                <w:rPr>
                  <w:rFonts w:ascii="Cambria Math" w:hAnsi="Cambria Math"/>
                  <w:sz w:val="23"/>
                  <w:szCs w:val="23"/>
                </w:rPr>
              </m:ctrlPr>
            </m:dPr>
            <m:e>
              <m:sSub>
                <m:sSubPr>
                  <m:ctrlPr>
                    <w:rPr>
                      <w:rFonts w:ascii="Cambria Math" w:hAnsi="Cambria Math"/>
                      <w:sz w:val="23"/>
                      <w:szCs w:val="23"/>
                    </w:rPr>
                  </m:ctrlPr>
                </m:sSubPr>
                <m:e>
                  <m:r>
                    <w:rPr>
                      <w:rFonts w:ascii="Cambria Math" w:hAnsi="Cambria Math"/>
                      <w:sz w:val="23"/>
                      <w:szCs w:val="23"/>
                    </w:rPr>
                    <m:t>p</m:t>
                  </m:r>
                </m:e>
                <m:sub>
                  <m:r>
                    <w:rPr>
                      <w:rFonts w:ascii="Cambria Math" w:hAnsi="Cambria Math"/>
                      <w:sz w:val="23"/>
                      <w:szCs w:val="23"/>
                    </w:rPr>
                    <m:t>A</m:t>
                  </m:r>
                </m:sub>
              </m:sSub>
              <m:r>
                <w:rPr>
                  <w:rFonts w:ascii="Cambria Math" w:hAnsi="Cambria Math"/>
                  <w:sz w:val="23"/>
                  <w:szCs w:val="23"/>
                </w:rPr>
                <m:t>+</m:t>
              </m:r>
              <m:sSub>
                <m:sSubPr>
                  <m:ctrlPr>
                    <w:rPr>
                      <w:rFonts w:ascii="Cambria Math" w:hAnsi="Cambria Math"/>
                      <w:sz w:val="23"/>
                      <w:szCs w:val="23"/>
                    </w:rPr>
                  </m:ctrlPr>
                </m:sSubPr>
                <m:e>
                  <m:r>
                    <w:rPr>
                      <w:rFonts w:ascii="Cambria Math" w:hAnsi="Cambria Math"/>
                      <w:sz w:val="23"/>
                      <w:szCs w:val="23"/>
                    </w:rPr>
                    <m:t>p</m:t>
                  </m:r>
                </m:e>
                <m:sub>
                  <m:r>
                    <w:rPr>
                      <w:rFonts w:ascii="Cambria Math" w:hAnsi="Cambria Math"/>
                      <w:sz w:val="23"/>
                      <w:szCs w:val="23"/>
                    </w:rPr>
                    <m:t>B</m:t>
                  </m:r>
                </m:sub>
              </m:sSub>
            </m:e>
          </m:d>
          <m:r>
            <w:rPr>
              <w:rFonts w:ascii="Cambria Math" w:hAnsi="Cambria Math"/>
              <w:sz w:val="23"/>
              <w:szCs w:val="23"/>
            </w:rPr>
            <m:t>/2.</m:t>
          </m:r>
        </m:oMath>
      </m:oMathPara>
    </w:p>
    <w:p>
      <w:pPr>
        <w:pStyle w:val="NormalWeb"/>
        <w:contextualSpacing/>
      </w:pPr>
      <w:r>
        <w:t xml:space="preserve">The smallest integer n that met the exact Fisher power target was then found by search. We enumerated all 1,225 unique pairs on a 1-percentage-point grid {(p_A, p_B): 50 ≤ p_B &lt; p_A ≤ 99}. Cells are equally spaced by construction. They are not weighted by how often laboratories encounter each Δp. Exact Fisher power followed Casagrande et al.[11] Conventional n=20 was retained as a fixed comparator; β&gt;0.80 (power &lt;20%) marked secondary underpowering.</w:t>
      </w:r>
    </w:p>
    <w:p>
      <w:pPr>
        <w:pStyle w:val="NormalWeb"/>
        <w:contextualSpacing/>
      </w:pPr>
      <w:r>
        <w:t xml:space="preserve">Sample-size search for benchmark confirmation tracked the chance that a lower one-sided 95% Clopper-Pearson limit met or exceeded p₀ under p_alt.[9] Pass-rule calculations used the binomial probability of the stated k-of-n criterion. Two-arm inference relied on Fisher exact tests. Boschloo exact testing was sensitivity analysis only.[13] Clustering prompted a look at design-effect inflation DE=1+(m-1)ρ; primary runs kept DE=1. Logistic dose-response fits on the log-concentration scale supplied p(c*) for retrospective curves and never defined the primary lattice.</w:t>
      </w:r>
    </w:p>
    <w:p>
      <w:pPr>
        <w:pStyle w:val="NormalWeb"/>
        <w:contextualSpacing/>
      </w:pPr>
      <w:r>
        <w:t xml:space="preserve">Retrospective Audit of Validation Records</w:t>
      </w:r>
    </w:p>
    <w:p>
      <w:pPr>
        <w:pStyle w:val="NormalWeb"/>
        <w:contextualSpacing/>
      </w:pPr>
      <w:r>
        <w:t xml:space="preserve">Sixteen publicly accessible document-level records were audited: 10 protocol or dataset deposits, 3 institutional replicate panels, and 3 published LoD tables (Supplementary Table 7b). Extracted fields were the LoD or lot-verification sentence, the reported replicate count, any k-of-n acceptance rule, and whether more than one lot, material, or target was compared. Four phrase rules assigned claims. A stated k-of-n or 19-of-20 pass rule was qualitative pass criteria. A two-lot, two-material, or two-target contrast at the LoD, or a multi-lot detect grid, was two-arm comparison. “Equivalent” without a numeric margin was discrimination, not TOST. A single-method 95% detection claim, LoD confirmation sentence, or low-level replicate series without a pass rule or two-arm contrast was benchmark confirmation, as were hospital and published x/n tables lacking a two-arm sentence.</w:t>
      </w:r>
    </w:p>
    <w:p>
      <w:pPr>
        <w:pStyle w:val="NormalWeb"/>
        <w:contextualSpacing/>
      </w:pPr>
      <w:r>
        <w:t xml:space="preserve">Detection-probability inputs were taken from the source when written. Missing p₀ for benchmark confirmation was set to 0.95. Missing (p_A, p_B) for two-arm records was set to the Introduction planning pair 0.90 versus 0.80; that pair is a scoring default, not a measured hit rate in those files. When only a concentration-response series was available, p(c*) came from a logistic curve on the log-concentration scale. Replicate counts were never imputed. One linearity record had neither a detection-probability target nor a usable curve, so n* was omitted. No source document stated an 80% power target; every 80% calculation is an author-specified operating characteristic from Table 1. Verbatim quotes, mapped claim, assigned rates, archived n, and n* are listed in Supplementary Table 7b.</w:t>
      </w:r>
    </w:p>
    <w:p>
      <w:pPr>
        <w:pStyle w:val="NormalWeb"/>
        <w:contextualSpacing/>
      </w:pPr>
      <w:r>
        <w:t xml:space="preserve">Public Data Sources and Reproducibility</w:t>
      </w:r>
    </w:p>
    <w:p>
      <w:pPr>
        <w:pStyle w:val="NormalWeb"/>
        <w:contextualSpacing/>
      </w:pPr>
      <w:r>
        <w:t xml:space="preserve">The public-data component comprised ten openly accessible replicate-level datasets from clinical chemistry and related applications. Institutional and published records added document-level evidence (Supplementary Table 7b; [16-29]). We ran calculations in Python 3.10 with lod_guide v0.5.0 and deterministic exact procedures. Source data, scripts, and the audit ledger remain available for reconstruction. The online supplement holds mapping rules, Δp-stratified lattice margins, confirmation and pass-rule tables, and the 16-row audit ledger. Methods follow CLSI EP17-A2 and EP26 plus exact binomial procedures for one- and two-proportion claims.[1,2,9-12,14,15]</w:t>
      </w:r>
    </w:p>
    <w:p w14:paraId="26A9271E" w14:textId="77777777" w:rsidR="007D5866" w:rsidRDefault="007D5866" w:rsidP="007D5866">
      <w:pPr>
        <w:pStyle w:val="Heading2"/>
      </w:pPr>
      <w:bookmarkStart w:id="3" w:name="discussion"/>
      <w:bookmarkEnd w:id="2"/>
      <w:r>
        <w:t>Results</w:t>
      </w:r>
    </w:p>
    <w:p>
      <w:pPr>
        <w:pStyle w:val="Heading3"/>
        <w:contextualSpacing/>
      </w:pPr>
      <w:r>
        <w:t xml:space="preserve">Exact operating characteristics across the detection-probability lattice</w:t>
      </w:r>
    </w:p>
    <w:p>
      <w:pPr>
        <w:pStyle w:val="NormalWeb"/>
        <w:contextualSpacing/>
      </w:pPr>
      <w:r>
        <w:t xml:space="preserve">Enumeration covered all 1,225 unique two-arm probability pairs on the 50%-99% lattice (p_A&gt;p_B) at 20 replicates per arm. Lattice cells are equally spaced design points. They are not an empirical distribution of laboratory lot differences, and the 61% underpowered fraction below is therefore a lattice property. Benchmark confirmation and qualitative pass criteria used that same conventional n. Operating characteristics for the three Table 1 claim structures are reported next.</w:t>
      </w:r>
    </w:p>
    <w:p>
      <w:pPr>
        <w:pStyle w:val="Heading3"/>
        <w:contextualSpacing/>
      </w:pPr>
      <w:r>
        <w:t xml:space="preserve">Two-arm lot comparison at the limit of detection</w:t>
      </w:r>
    </w:p>
    <w:p>
      <w:pPr>
        <w:pStyle w:val="NormalWeb"/>
        <w:contextualSpacing/>
      </w:pPr>
      <w:r>
        <w:t xml:space="preserve">At n=20 per arm, exact 2-sided Fisher β exceeded 0.80 in 61% of the 1,225 equally spaced cells (Fig. 1B; Table 2), so power stayed below 20%. The 61% fraction is a lattice property. Underpowering clustered where hit-rate gaps were small. Every one of the 235 cells with a 1-5 percentage-point difference, and every one of the 210 cells with a 6-10 point difference (including 90%/80%), had β&gt;0.80 at n=20. Median asymptotic n* in those bands was about 2,900 and 425. Among 345 cells with an 11-20 point difference, 86% had β&gt;0.80 (median n* 116). Among 435 cells with a difference &gt;20 points, only 1.4% had β&gt;0.80 (median n* 32). Thus n=20 can cover large detection-probability gaps. It is inadequate for the narrow contrasts that occupy most of this lattice, which is not a statement about how often those gaps occur in the field (Supplementary Table 3f). The lattice-wide median n* is also 116; that single number is not a recommended default, because n* is monotone in Δp. For the 90%/80% planning example (one 10-point cell, not the 6-10 pp band median), exact Fisher power was about 0.07 at 20 replicates per arm, and about 199 replicates per arm were needed for 80% power (Table 2). Fig. 1C shows the n*(p_A,p_B) surface on a 20-435 display scale; cells with a 1-percentage-point gap have much larger asymptotic n* and sit outside that range (Supplementary Table 3f).</w:t>
      </w:r>
    </w:p>
    <w:p>
      <w:pPr>
        <w:pStyle w:val="NormalWeb"/>
        <w:contextualSpacing/>
      </w:pPr>
      <w:r>
        <w:t xml:space="preserve">Asymptotic pooled-proportion power exceeded exact Fisher power by more than 0.05 in 778 of 1,225 cells (Supplementary Table 3e). In selected near-LoD scenarios both arms could satisfy a 19-of-20 positivity criterion while exact Fisher power remained below the planning target (Supplementary Table 9c). Across 8 protocol-specific pairs, the median required sample size was 3.9-fold the 20-replicate comparator (Table 2; Fig. 2C).</w:t>
      </w:r>
    </w:p>
    <w:p>
      <w:pPr>
        <w:pStyle w:val="Heading3"/>
        <w:contextualSpacing/>
      </w:pPr>
      <w:r>
        <w:t xml:space="preserve">Fixed pass criteria and observed positivity</w:t>
      </w:r>
    </w:p>
    <w:p>
      <w:pPr>
        <w:pStyle w:val="NormalWeb"/>
        <w:contextualSpacing/>
      </w:pPr>
      <w:r>
        <w:t xml:space="preserve">When the true detection probability was 0.95, a 19-of-20 rule in a 20-replicate experiment had pass probability 0.736 (73.6%) (Supplementary Table 9), below the 80% planning target. Sample sizes that bring this rule to the operating target are in Supplementary Table 9b.</w:t>
      </w:r>
    </w:p>
    <w:p>
      <w:pPr>
        <w:pStyle w:val="Heading3"/>
        <w:contextualSpacing/>
      </w:pPr>
      <w:r>
        <w:t xml:space="preserve">Benchmark confirmation of detection probability</w:t>
      </w:r>
    </w:p>
    <w:p>
      <w:pPr>
        <w:pStyle w:val="NormalWeb"/>
        <w:contextualSpacing/>
      </w:pPr>
      <w:r>
        <w:t xml:space="preserve">Even 20 of 20 positives at a nominal detection probability of 0.95 left the lower one-sided 95% Clopper-Pearson limit below 0.95. Under the study-specific confirmation rule, n=20 therefore failed (Supplementary Table 8). In all 12 benchmark-confirmation audit records, the exact probability of meeting that same rule at the archived sample size was 0 (Supplementary Table 7b). Few source documents stated this confirmation criterion. It is not an EP17-A2 decision rule.</w:t>
      </w:r>
    </w:p>
    <w:p>
      <w:pPr>
        <w:pStyle w:val="Heading3"/>
        <w:contextualSpacing/>
      </w:pPr>
      <w:r>
        <w:t xml:space="preserve">Worked example from an archived protocol sentence</w:t>
      </w:r>
    </w:p>
    <w:p>
      <w:pPr>
        <w:pStyle w:val="NormalWeb"/>
        <w:contextualSpacing/>
      </w:pPr>
      <w:r>
        <w:t xml:space="preserve">An Analyse-it EP17 estradiol workbook carries CLSI EP17-A2 Section 7.3 language: a minimum of 20 replicates at the LoD concentration, and at least 19 of 20 detected for a 95% detection claim. The audit mapped that sentence to qualitative pass criteria. At p=0.95, P(X≥19 | n=20)=0.736; holding k at 19, 21 replicates raise the pass probability to the 80% planning target. Scored instead as benchmark confirmation of p=0.95, 20 of 20 positives still leave the lower Clopper-Pearson 95% limit below 0.95, and 53 replicates are required for 80% probability of confirmation when the true rate is 0.95 (Supplementary Table 8). Read as a two-arm claim that a new lot matches a reference lot and scored at 90%/80%, exact Fisher power at 20 replicates per arm is 0.07 and n*≈199 (Table 2). Sample size is therefore undefined until the inferential claim is locked.</w:t>
      </w:r>
    </w:p>
    <w:p>
      <w:pPr>
        <w:pStyle w:val="Heading3"/>
        <w:contextualSpacing/>
      </w:pPr>
      <w:r>
        <w:t xml:space="preserve">Retrospective audit of validation records</w:t>
      </w:r>
    </w:p>
    <w:p>
      <w:pPr>
        <w:pStyle w:val="NormalWeb"/>
        <w:contextualSpacing/>
      </w:pPr>
      <w:r>
        <w:t xml:space="preserve">Sixteen document-level rows were audited: 10 tier A deposits plus institutional and published records (Table 3; Supplementary Table 7b). The set is a convenience sample of publicly accessible files, not a prevalence survey and not a prospective locked-claim experiment. In 15 of 16 rows the claim-specific requirement exceeded the conventional 20-replicate comparator (ratios 1.05-9.95). Claims mapped as 12 benchmark-confirmation, 3 two-arm, and 1 qualitative-pass. No source text named an 80% power target. Against the author-specified operating characteristics in Table 1 (α=0.05; 80% power), every archived sample size missed its corresponding target. That mismatch is a scoring result under Table 1, not evidence that those laboratories failed a target they had written.</w:t>
      </w:r>
    </w:p>
    <w:p>
      <w:pPr>
        <w:pStyle w:val="NormalWeb"/>
        <w:contextualSpacing/>
      </w:pPr>
      <w:r>
        <w:t xml:space="preserve">Nine of 10 tier A deposits supported claim-specific calculation (required n 53-199; ratios 2.65-9.95). The 3 two-arm records (EP17 probit and 2 qPCR series) lacked written hit-rate pairs and were scored at the assigned 90%/80% planning pair. Exact Fisher power was 0.07 at archived n, with required n ≈199 per arm. One estradiol workbook mapped to a 19-of-20 qualitative rule stated in the source (pass probability 0.74). Remaining calculable deposits mapped to benchmark confirmation, usually with assigned p₀=0.95, and required more than 20 replicates; one linearity record lacked a detection-probability target. Six additional rows supplied replicate-level or published aggregate counts. Five of 6 empirical rates were below the 95% benchmark, and all 6 were evaluated under benchmark confirmation with assigned p₀=0.95. Empirical detection curves, required-to-reported ratios, and protocol-specific pairs are shown in Fig. 2.</w:t>
      </w:r>
    </w:p>
    <w:p w14:paraId="30473106" w14:textId="77777777" w:rsidR="007D5866" w:rsidRDefault="007D5866" w:rsidP="007D5866">
      <w:pPr>
        <w:pStyle w:val="Heading2"/>
      </w:pPr>
      <w:bookmarkStart w:id="4" w:name="data-and-code-availability"/>
      <w:bookmarkEnd w:id="3"/>
      <w:r>
        <w:t>Discussion</w:t>
      </w:r>
    </w:p>
    <w:p>
      <w:pPr>
        <w:pStyle w:val="NormalWeb"/>
        <w:contextualSpacing/>
      </w:pPr>
      <w:r>
        <w:t xml:space="preserve">We scored fixed replicate counts against exact, author-specified operating characteristics. Exact Fisher power at 20 replicates per arm stayed below 20% in 61% of 1,225 equally spaced lattice pairs. As a 10-point example, 90%/80% had power about 0.07 and n* about 199 per arm. That 61% belongs to the design grid. It is not a laboratory failure rate, and it clusters at differences of 10 percentage points or less. Gaps larger than 20 points were rarely underpowered at n=20. The 20-435 range in Fig. 1C is a display scale for plotted n*. Cells with a 1-percentage-point gap sit outside it. A 19-of-20 result is a binomial pass event (pass probability 73.6% when p=0.95). It is not confirmation of a 95% detection benchmark under the study Clopper-Pearson rule. Reported replicate counts in a convenience audit of 16 publicly accessible rows were smaller than the Table 1 requirements. Those files had not stated an 80% power target. Replicate number has meaning only with the claim it is meant to support.</w:t>
      </w:r>
    </w:p>
    <w:p>
      <w:pPr>
        <w:pStyle w:val="NormalWeb"/>
        <w:contextualSpacing/>
      </w:pPr>
      <w:r>
        <w:t xml:space="preserve">CLSI EP17-A2 specifies a minimal verification design and allows additional measurements when greater power is desired. The minimum number of observations needed to perform a procedure is not necessarily the number needed to detect a particular departure from the claim. Vaks et al. showed that pass probability for claimed-LoD verification depends on replicate number and on the relationship between claimed and actual LoD.[5] The present calculations extend that idea to two-arm hit-rate contrasts and keep pass rules separate from benchmark confirmation. The 19-of-20 criterion remains a qualitative acceptance rule, not a synonym for the EP17-A2 verification procedure, and does not revise the CLSI definition of LoD.</w:t>
      </w:r>
    </w:p>
    <w:p>
      <w:pPr>
        <w:pStyle w:val="NormalWeb"/>
        <w:contextualSpacing/>
      </w:pPr>
      <w:r>
        <w:t xml:space="preserve">Quantitative reagent-lot studies make a related practical point. Algeciras-Schimnich et al., Katzman et al., and Kim et al. found that fixed protocols can miss lot differences and that EP26-type requirements vary by analyte.[6-8] Near the LoD the outcomes here are binary. Evidentiary value still follows the written claim and its operating characteristics rather than a fixed sample count.</w:t>
      </w:r>
    </w:p>
    <w:p>
      <w:pPr>
        <w:pStyle w:val="NormalWeb"/>
        <w:contextualSpacing/>
      </w:pPr>
      <w:r>
        <w:t xml:space="preserve">Exact Fisher power was more than 0.05 below the pooled asymptotic calculation in 778 of 1,225 cells, so small-sample approximations need care near detection boundaries.[11] The retrospective audit supplies heterogeneous examples. The repeated claim-versus-n pattern supports using the lattice to quantify design consequences, without implying an incorrect clinical decision in any specific laboratory.</w:t>
      </w:r>
    </w:p>
    <w:p>
      <w:pPr>
        <w:pStyle w:val="NormalWeb"/>
        <w:contextualSpacing/>
      </w:pPr>
      <w:r>
        <w:t xml:space="preserve">Resolve sample size when the claim is written. Lock the estradiol worksheet’s 19-of-20 sentence as a pass rule and n* is 21; lock it as Clopper-Pearson confirmation and n* is 53; lock it as a 90%/80% two-arm contrast and n* is 199. Protocols can separate a minimal EP17-A2 verification from a benchmark-confirmation objective or a two-arm comparison. Equivalence or noninferiority still needs an explicit margin.</w:t>
      </w:r>
    </w:p>
    <w:p>
      <w:pPr>
        <w:pStyle w:val="NormalWeb"/>
        <w:contextualSpacing/>
      </w:pPr>
      <w:r>
        <w:t xml:space="preserve">A two-arm plan near 90%/80% that returns n*≈199 per arm need not be treated as a mandate. Laboratories can rewrite the claim as a pass rule or as benchmark confirmation, specify an equivalence margin instead of testing H₀: θ₂=0, restrict the comparison to a larger Δp that n=20 can support, or keep n=20 and report the exact power. The selected n has to be interpretable against the claim that will be signed.</w:t>
      </w:r>
    </w:p>
    <w:p>
      <w:pPr>
        <w:pStyle w:val="Heading3"/>
        <w:contextualSpacing/>
      </w:pPr>
      <w:r>
        <w:t xml:space="preserve">Limitations</w:t>
      </w:r>
    </w:p>
    <w:p>
      <w:pPr>
        <w:pStyle w:val="NormalWeb"/>
        <w:contextualSpacing/>
      </w:pPr>
      <w:r>
        <w:t xml:space="preserve">The audit is small (16 publicly accessible rows) and mixes replicate-level with aggregate data. Source files that omitted rates received assigned p₀=0.95 or the 90%/80% pair. No source stated 80% power, so Table 1 targets are author-specified. The 1,225-cell lattice is equally spaced and is not a prevalence of lot differences. We did not run a prospective, claim-locked verification on a laboratory specimen panel. Primary analyses assume independent Bernoulli outcomes with equal allocation. Logistic curves used to obtain p(c*) did not propagate fit uncertainty through the lattice. Binary hit-rate claims are in scope; blank-SD LoB/LoD, probit concentration estimation, and EP26 quantitative lot tests are not. The benchmark-confirmation rule is study-specific rather than a restatement of EP17-A2 decision criteria. Clustering entered only as a design-effect sensitivity analysis.</w:t>
      </w:r>
    </w:p>
    <w:p>
      <w:pPr>
        <w:pStyle w:val="NormalWeb"/>
        <w:contextualSpacing/>
      </w:pPr>
      <w:r>
        <w:t xml:space="preserve">A nominal replicate count such as 20 only records how much data were collected. It does not give the probability that a prespecified claim will be detected, confirmed, or rejected. Across a broad detection-probability range we report exact operating characteristics for three binary hit-rate claim structures. EP17 continuous detection-capability procedures remain in place. The next practical test is routine hit-rate verification under a locked claim.</w:t>
      </w:r>
    </w:p>
    <w:p w14:paraId="0D3E6557" w14:textId="77777777" w:rsidR="00FA3078" w:rsidRPr="007D5866" w:rsidRDefault="007A1461" w:rsidP="007D5866">
      <w:pPr>
        <w:pStyle w:val="Heading2"/>
        <w:contextualSpacing/>
        <w:rPr>
          <w:rFonts w:ascii="Times New Roman" w:hAnsi="Times New Roman" w:cs="Times New Roman"/>
          <w:sz w:val="23"/>
          <w:szCs w:val="23"/>
        </w:rPr>
      </w:pPr>
      <w:r w:rsidRPr="007D5866">
        <w:rPr>
          <w:rFonts w:ascii="Times New Roman" w:hAnsi="Times New Roman" w:cs="Times New Roman"/>
          <w:sz w:val="23"/>
          <w:szCs w:val="23"/>
        </w:rPr>
        <w:t>Data and code availability</w:t>
      </w:r>
    </w:p>
    <w:p w14:paraId="2DC26637" w14:textId="77777777" w:rsidR="00FA3078" w:rsidRPr="007D5866" w:rsidRDefault="007A1461" w:rsidP="007D5866">
      <w:pPr>
        <w:pStyle w:val="FirstParagraph"/>
        <w:contextualSpacing/>
        <w:rPr>
          <w:sz w:val="23"/>
          <w:szCs w:val="23"/>
        </w:rPr>
      </w:pPr>
      <w:r w:rsidRPr="007D5866">
        <w:rPr>
          <w:sz w:val="23"/>
          <w:szCs w:val="23"/>
        </w:rPr>
        <w:t>Analysis used the open-source lod_guide package (v0.5.0; Python 3.10). Source code, fixed random seeds, machine-readable audit JSON, and step-by-step figure and table regeneration are documented in the online Supplement (§S2f software map; §S8 reproducibility manifest). A version-tagged source archive accompanies the supplement submission; permanent public deposition will be registered before publication. Tier A public deposits are available from Zenodo and primary repositories (DOIs in the reference list</w:t>
      </w:r>
      <w:r w:rsidRPr="007D5866">
        <w:rPr>
          <w:sz w:val="23"/>
          <w:szCs w:val="23"/>
        </w:rPr>
        <w:t xml:space="preserve"> and Supplement Table 5). Deidentified replicate-level </w:t>
      </w:r>
      <w:r w:rsidRPr="007D5866">
        <w:rPr>
          <w:sz w:val="23"/>
          <w:szCs w:val="23"/>
        </w:rPr>
        <w:lastRenderedPageBreak/>
        <w:t>summaries supporting the main findings are available from the corresponding author on reasonable request.</w:t>
      </w:r>
    </w:p>
    <w:p w14:paraId="15D81AE2" w14:textId="77777777" w:rsidR="00FA3078" w:rsidRPr="007D5866" w:rsidRDefault="007A1461" w:rsidP="007D5866">
      <w:pPr>
        <w:pStyle w:val="Heading2"/>
        <w:contextualSpacing/>
        <w:rPr>
          <w:rFonts w:ascii="Times New Roman" w:hAnsi="Times New Roman" w:cs="Times New Roman"/>
          <w:sz w:val="23"/>
          <w:szCs w:val="23"/>
        </w:rPr>
      </w:pPr>
      <w:bookmarkStart w:id="5" w:name="X4137719c86bdc1631269fdbc0789405d4baae58"/>
      <w:bookmarkEnd w:id="4"/>
      <w:r w:rsidRPr="007D5866">
        <w:rPr>
          <w:rFonts w:ascii="Times New Roman" w:hAnsi="Times New Roman" w:cs="Times New Roman"/>
          <w:sz w:val="23"/>
          <w:szCs w:val="23"/>
        </w:rPr>
        <w:t>Acknowledgments and conflicts of interest</w:t>
      </w:r>
    </w:p>
    <w:p w14:paraId="1E8C0DD8" w14:textId="77777777" w:rsidR="00FA3078" w:rsidRPr="007D5866" w:rsidRDefault="007A1461" w:rsidP="007D5866">
      <w:pPr>
        <w:pStyle w:val="FirstParagraph"/>
        <w:contextualSpacing/>
        <w:rPr>
          <w:sz w:val="23"/>
          <w:szCs w:val="23"/>
        </w:rPr>
      </w:pPr>
      <w:r w:rsidRPr="007D5866">
        <w:rPr>
          <w:b/>
          <w:bCs/>
          <w:sz w:val="23"/>
          <w:szCs w:val="23"/>
        </w:rPr>
        <w:t>Funding:</w:t>
      </w:r>
      <w:r w:rsidRPr="007D5866">
        <w:rPr>
          <w:sz w:val="23"/>
          <w:szCs w:val="23"/>
        </w:rPr>
        <w:t xml:space="preserve"> None declared. Conflicts of interest: None declared. Author contributions: Dong Zhang: methodology, software, writing (review and editing). Qiwen Yang: conceptualization, supervision, writing (original draft), corresponding author.</w:t>
      </w:r>
    </w:p>
    <w:p w14:paraId="7DFBE4B7" w14:textId="77777777" w:rsidR="00FA3078" w:rsidRPr="007D5866" w:rsidRDefault="007A1461" w:rsidP="007D5866">
      <w:pPr>
        <w:pStyle w:val="Heading2"/>
        <w:contextualSpacing/>
        <w:rPr>
          <w:rFonts w:ascii="Times New Roman" w:hAnsi="Times New Roman" w:cs="Times New Roman"/>
          <w:sz w:val="23"/>
          <w:szCs w:val="23"/>
        </w:rPr>
      </w:pPr>
      <w:bookmarkStart w:id="6" w:name="references"/>
      <w:bookmarkEnd w:id="5"/>
      <w:r w:rsidRPr="007D5866">
        <w:rPr>
          <w:rFonts w:ascii="Times New Roman" w:hAnsi="Times New Roman" w:cs="Times New Roman"/>
          <w:sz w:val="23"/>
          <w:szCs w:val="23"/>
        </w:rPr>
        <w:t>References</w:t>
      </w:r>
    </w:p>
    <w:p>
      <w:pPr>
        <w:pStyle w:val="Normal"/>
        <w:contextualSpacing/>
      </w:pPr>
      <w:r>
        <w:t xml:space="preserve">1. Clinical and Laboratory Standards Institute. Verification of detection capability for clinical laboratory measurement procedures. 2nd ed. CLSI document EP17-A2. Wayne, PA: Clinical and Laboratory Standards Institute; 2012.</w:t>
      </w:r>
    </w:p>
    <w:p>
      <w:pPr>
        <w:pStyle w:val="Normal"/>
        <w:contextualSpacing/>
      </w:pPr>
      <w:r>
        <w:t xml:space="preserve">2. Clinical and Laboratory Standards Institute. User verification of acceptability of a reagent lot change. 2nd ed. CLSI document EP26. Wayne, PA: Clinical and Laboratory Standards Institute; 2022.</w:t>
      </w:r>
    </w:p>
    <w:p>
      <w:pPr>
        <w:pStyle w:val="Normal"/>
        <w:contextualSpacing/>
      </w:pPr>
      <w:r>
        <w:t xml:space="preserve">3. Armbruster DA, Pry T. Limit of blank, limit of detection and limit of quantitation. Clin Biochem Rev. 2008;29(Suppl 1):S49-52.</w:t>
      </w:r>
    </w:p>
    <w:p>
      <w:pPr>
        <w:pStyle w:val="Normal"/>
        <w:contextualSpacing/>
      </w:pPr>
      <w:r>
        <w:t xml:space="preserve">4. Linnet K, Kondratovich M. Partly nonparametric approach for determining the limit of detection. Clin Chem. 2004;50(4):732-740.</w:t>
      </w:r>
    </w:p>
    <w:p>
      <w:pPr>
        <w:pStyle w:val="Normal"/>
        <w:contextualSpacing/>
      </w:pPr>
      <w:r>
        <w:t xml:space="preserve">5. Vaks JE, Hemyari P, Rullkoetter M, Santulli MJ, Schoenbrunner N. Verification of claimed limit of detection in molecular diagnostics. J Appl Lab Med. 2016;1(3):260-270.</w:t>
      </w:r>
    </w:p>
    <w:p>
      <w:pPr>
        <w:pStyle w:val="Normal"/>
        <w:contextualSpacing/>
      </w:pPr>
      <w:r>
        <w:t xml:space="preserve">6. Algeciras-Schimnich A, Bruns DE, Boyd JC, Bryant SC, La Fortune KA, Grebe SKG. Failure of current laboratory protocols to detect lot-to-lot reagent differences: findings and possible solutions. Clin Chem. 2013;59(8):1187-1194.</w:t>
      </w:r>
    </w:p>
    <w:p>
      <w:pPr>
        <w:pStyle w:val="Normal"/>
        <w:contextualSpacing/>
      </w:pPr>
      <w:r>
        <w:t xml:space="preserve">7. Katzman BM, Ness KM, Algeciras-Schimnich A. Verification of the CLSI EP26-A protocol for detection of reagent lot-to-lot differences. Clin Biochem. 2017;50(13-14):768-771.</w:t>
      </w:r>
    </w:p>
    <w:p>
      <w:pPr>
        <w:pStyle w:val="Normal"/>
        <w:contextualSpacing/>
      </w:pPr>
      <w:r>
        <w:t xml:space="preserve">8. Kim S, Chang J, Kim SK, Park S, Huh J, Jeong TD. Sample size and rejection limits for detecting reagent lot variability: analysis of the applicability of the Clinical and Laboratory Standards Institute (CLSI) EP26-A protocol to real-world clinical chemistry data. Clin Chem Lab Med. 2020;59(1):127-138.</w:t>
      </w:r>
    </w:p>
    <w:p>
      <w:pPr>
        <w:pStyle w:val="Normal"/>
        <w:contextualSpacing/>
      </w:pPr>
      <w:r>
        <w:t xml:space="preserve">9. Clopper CJ, Pearson ES. The use of confidence or fiducial limits illustrated in the case of the binomial. Biometrika. 1934;26(4):404-413.</w:t>
      </w:r>
    </w:p>
    <w:p>
      <w:pPr>
        <w:pStyle w:val="Normal"/>
        <w:contextualSpacing/>
      </w:pPr>
      <w:r>
        <w:t xml:space="preserve">10. Fleiss JL, Tytun A, Ury HK. A simple approximation for calculating sample sizes for comparing independent proportions. Biometrics. 1980;36(2):343-346.</w:t>
      </w:r>
    </w:p>
    <w:p>
      <w:pPr>
        <w:pStyle w:val="Normal"/>
        <w:contextualSpacing/>
      </w:pPr>
      <w:r>
        <w:t xml:space="preserve">11. Casagrande JT, Pike MC, Smith PG. The power function of the "exact" test for comparing two binomial distributions. J R Stat Soc Series C Appl Stat. 1978;27(2):176-180.</w:t>
      </w:r>
    </w:p>
    <w:p>
      <w:pPr>
        <w:pStyle w:val="Normal"/>
        <w:contextualSpacing/>
      </w:pPr>
      <w:r>
        <w:t xml:space="preserve">12. Fisher RA. The logic of inductive inference. J R Stat Soc. 1935;98(1):39-82.</w:t>
      </w:r>
    </w:p>
    <w:p>
      <w:pPr>
        <w:pStyle w:val="Normal"/>
        <w:contextualSpacing/>
      </w:pPr>
      <w:r>
        <w:t xml:space="preserve">13. Boschloo RD. Raised conditional level of significance for the 2 × 2-table when testing the equality of two probabilities. Statistica Neerlandica. 1970;24(1):1-9.</w:t>
      </w:r>
    </w:p>
    <w:p>
      <w:pPr>
        <w:pStyle w:val="Normal"/>
        <w:contextualSpacing/>
      </w:pPr>
      <w:r>
        <w:t xml:space="preserve">14. Mehta CR, Patel NR. A network algorithm for performing Fisher's exact test in r × c contingency tables. J Am Stat Assoc. 1983;78(382):427-434.</w:t>
      </w:r>
    </w:p>
    <w:p>
      <w:pPr>
        <w:pStyle w:val="Normal"/>
        <w:contextualSpacing/>
      </w:pPr>
      <w:r>
        <w:t xml:space="preserve">15. Agresti A. Categorical Data Analysis. 3rd ed. Hoboken, NJ: John Wiley &amp; Sons; 2013.</w:t>
      </w:r>
    </w:p>
    <w:p>
      <w:pPr>
        <w:pStyle w:val="Normal"/>
        <w:contextualSpacing/>
      </w:pPr>
      <w:r>
        <w:t xml:space="preserve">16. Analyse-it Software, Ltd. EP17 detection capability: worked examples (CLSI EP17-A2). Available from: https://analyse-it.com/support/examples. Accessed September 22, 2026.</w:t>
      </w:r>
    </w:p>
    <w:p>
      <w:pPr>
        <w:pStyle w:val="Normal"/>
        <w:contextualSpacing/>
      </w:pPr>
      <w:r>
        <w:t xml:space="preserve">17. Piaggio A. Building an eDNA surveillance toolkit for invasive rodents on islands: can we detect wild-type and gene drive Mus musculus? [dataset]. Zenodo; 2024. doi:10.5281/zenodo.12609243.</w:t>
      </w:r>
    </w:p>
    <w:p>
      <w:pPr>
        <w:pStyle w:val="Normal"/>
        <w:contextualSpacing/>
      </w:pPr>
      <w:r>
        <w:t xml:space="preserve">18. Galitzine C, Egertson JD, Abbatiello S, Henderson CM, Pino LK, MacCoss M, et al. Nonlinear regression improves accuracy of characterization of multiplexed mass spectrometric assays. Mol Cell Proteomics. 2018;17(5):913-924.</w:t>
      </w:r>
    </w:p>
    <w:p>
      <w:pPr>
        <w:pStyle w:val="Normal"/>
        <w:contextualSpacing/>
      </w:pPr>
      <w:r>
        <w:t xml:space="preserve">19. Carobene A, Vidali M, Ceriotti F, Alberghini A, Arcangeli A, Bellandi W, et al. Verification of the commutability of Lombardy region EQA control materials for enzymes, calcium, and creatinine. Clin Chim Acta. 2026;580:120745. Dataset: doi:10.17632/r4szpw8sn5.</w:t>
      </w:r>
    </w:p>
    <w:p>
      <w:pPr>
        <w:pStyle w:val="Normal"/>
        <w:contextualSpacing/>
      </w:pPr>
      <w:r>
        <w:t xml:space="preserve">20. Malkamäki M, Gandier JA, Meinander K, Linder MB. Specific protein quantification by radioimmuno-dot-blot assay for complex mixture samples utilizing Strep-tag and tritium-labeled StrepTactin. Anal Chem. 2025;97(2):1087-1096.</w:t>
      </w:r>
    </w:p>
    <w:p>
      <w:pPr>
        <w:pStyle w:val="Normal"/>
        <w:contextualSpacing/>
      </w:pPr>
      <w:r>
        <w:t xml:space="preserve">21. Sawant S, Harit D, Tomaras G. Underlying dataset for the manuscript titled "Qualification of a reporter virus microneutralization assay for verification of influenza specific antibodies in human clinical trials" [dataset]. Zenodo; 2025. doi:10.5281/zenodo.17108929.</w:t>
      </w:r>
    </w:p>
    <w:p>
      <w:pPr>
        <w:pStyle w:val="Normal"/>
        <w:contextualSpacing/>
      </w:pPr>
      <w:r>
        <w:t xml:space="preserve">22. Dierendonck C. Cation concentrations for LOD/LOQ determination [dataset]. Zenodo; 2022. doi:10.5281/zenodo.5909650.</w:t>
      </w:r>
    </w:p>
    <w:p>
      <w:pPr>
        <w:pStyle w:val="Normal"/>
        <w:contextualSpacing/>
      </w:pPr>
      <w:r>
        <w:t xml:space="preserve">23. Dierendonck C. Anion concentrations for LOD/LOQ determination [dataset]. Zenodo; 2022. doi:10.5281/zenodo.5901444.</w:t>
      </w:r>
    </w:p>
    <w:p>
      <w:pPr>
        <w:pStyle w:val="Normal"/>
        <w:contextualSpacing/>
      </w:pPr>
      <w:r>
        <w:t xml:space="preserve">24. Bzdok J, Czibere L, Burggraf S, Landt O, Maier EM, Röschinger W, et al. Quality considerations and major pitfalls for high throughput DNA-based newborn screening for severe combined immunodeficiency and spinal muscular atrophy. PLoS One. 2024;19(7):e0306329.</w:t>
      </w:r>
    </w:p>
    <w:p>
      <w:pPr>
        <w:pStyle w:val="Normal"/>
        <w:contextualSpacing/>
      </w:pPr>
      <w:r>
        <w:t xml:space="preserve">25. Lim HJ, Kang ER, Park MY, Kim BK, Kim MJ, Jung S, et al. Development of a multiplex real-time PCR assay for the simultaneous detection of four bacterial pathogens causing pneumonia. PLoS One. 2021;16(6):e0253402.</w:t>
      </w:r>
    </w:p>
    <w:p>
      <w:pPr>
        <w:pStyle w:val="Normal"/>
        <w:contextualSpacing/>
      </w:pPr>
      <w:r>
        <w:t xml:space="preserve">26. Hansen G, Marino J, Wang ZX, Beavis KG, Rodríguez-Barradas MC, Hemarajata P, et al. Direct comparison of SARS-CoV-2 analytical limits of detection across seven molecular assays. J Clin Microbiol. 2021;59(2):e01535-20.</w:t>
      </w:r>
    </w:p>
    <w:p>
      <w:pPr>
        <w:pStyle w:val="Normal"/>
        <w:contextualSpacing/>
      </w:pPr>
      <w:r>
        <w:t xml:space="preserve">27. Jiang Y, Wang H, Bai G, Zhong G, Liu Y. Development and clinical verification of a novel multiplex PCR test for detection of respiratory pathogens via fluorescence melting curve analysis. Sci Rep. 2025;15:30503.</w:t>
      </w:r>
    </w:p>
    <w:p>
      <w:pPr>
        <w:pStyle w:val="Normal"/>
        <w:contextualSpacing/>
      </w:pPr>
      <w:r>
        <w:t xml:space="preserve">28. Choi M, Galitzine C, Vitek O. MSstatsLOBD: limit of blank and limit of detection estimation for targeted proteomics. Bioconductor; 2024. Available from: https://bioconductor.org/packages/MSstatsLOBD.</w:t>
      </w:r>
    </w:p>
    <w:p>
      <w:pPr>
        <w:pStyle w:val="Normal"/>
        <w:contextualSpacing/>
      </w:pPr>
      <w:r>
        <w:t xml:space="preserve">29. Malkamäki M, Gandier JA, Meinander K, Linder MB. Data for publication: specific protein quantification by radioimmuno-dot-blot assay [dataset]. Zenodo; 2024. doi:10.5281/zenodo.12664367.</w:t>
      </w:r>
    </w:p>
    <w:p>
      <w:r>
        <w:br w:type="page"/>
      </w:r>
    </w:p>
    <w:p>
      <w:r>
        <w:br w:type="page"/>
      </w:r>
    </w:p>
    <w:sectPr w:rsidR="00FA3078" w:rsidRPr="007D5866">
      <w:footnotePr>
        <w:numRestart w:val="eachSect"/>
      </w:footnotePr>
      <w:pgSz w:w="12240" w:h="15840"/>
      <w:pgMar w:top="1440" w:right="1440" w:bottom="1440" w:left="1440" w:header="720" w:footer="720" w:gutter="0"/>
      <w:cols w:space="720"/>
    </w:sectPr>
    <w:p>
      <w:pPr>
        <w:pStyle w:val="Heading1"/>
      </w:pPr>
      <w:r>
        <w:t xml:space="preserve">Tables</w:t>
      </w:r>
    </w:p>
    <w:bookmarkStart w:id="24" w:name="Xad874dd6c686684287e915417e53ec398c2555c"/>
    <w:p>
      <w:pPr>
        <w:pStyle w:val="Heading2"/>
      </w:pPr>
      <w:r>
        <w:t xml:space="preserve">Table 1. Detection claim structures mapped to sample-size methods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Goal</w:t>
            </w:r>
          </w:p>
        </w:tc>
        <w:tc>
          <w:tcPr/>
          <w:p>
            <w:pPr>
              <w:pStyle w:val="Compact"/>
            </w:pPr>
            <w:r>
              <w:t xml:space="preserve">Statistical target</w:t>
            </w:r>
          </w:p>
        </w:tc>
        <w:tc>
          <w:tcPr/>
          <w:p>
            <w:pPr>
              <w:pStyle w:val="Compact"/>
            </w:pPr>
            <w:r>
              <w:t xml:space="preserve">Typical protocol language</w:t>
            </w:r>
          </w:p>
        </w:tc>
        <w:tc>
          <w:tcPr/>
          <w:p>
            <w:pPr>
              <w:pStyle w:val="Compact"/>
            </w:pPr>
            <w:r>
              <w:t xml:space="preserve">Sample-size method</w:t>
            </w:r>
          </w:p>
        </w:tc>
      </w:tr>
      <w:tr>
        <w:tc>
          <w:tcPr/>
          <w:p>
            <w:r>
              <w:t>Benchmark confirmation</w:t>
            </w:r>
          </w:p>
        </w:tc>
        <w:tc>
          <w:tcPr/>
          <w:p>
            <w:pPr>
              <w:pStyle w:val="Compact"/>
            </w:pPr>
            <w:r>
              <w:t xml:space="preserve">p(c*) &gt;= p0</w:t>
            </w:r>
          </w:p>
        </w:tc>
        <w:tc>
          <w:tcPr/>
          <w:p>
            <w:pPr>
              <w:pStyle w:val="Compact"/>
            </w:pPr>
            <w:r>
              <w:t xml:space="preserve">Benchmark confirmation: hit rate at c* meets IFU benchmark (typically p0=0.95); one-sided Clopper-Pearson limits</w:t>
            </w:r>
          </w:p>
        </w:tc>
        <w:tc>
          <w:tcPr/>
          <w:p>
            <w:pPr>
              <w:pStyle w:val="Compact"/>
            </w:pPr>
            <w:r>
              <w:t xml:space="preserve">one-proportion vs p0</w:t>
            </w:r>
          </w:p>
        </w:tc>
      </w:tr>
      <w:tr>
        <w:tc>
          <w:tcPr/>
          <w:p>
            <w:r>
              <w:t>Two-arm comparison</w:t>
            </w:r>
          </w:p>
        </w:tc>
        <w:tc>
          <w:tcPr/>
          <w:p>
            <w:pPr>
              <w:pStyle w:val="Compact"/>
            </w:pPr>
            <w:r>
              <w:t xml:space="preserve">p_A(c</w:t>
            </w:r>
            <w:r>
              <w:rPr>
                <w:i/>
                <w:iCs/>
              </w:rPr>
              <w:t xml:space="preserve">) - p_B(c</w:t>
            </w:r>
            <w:r>
              <w:t xml:space="preserve">)</w:t>
            </w:r>
          </w:p>
        </w:tc>
        <w:tc>
          <w:tcPr/>
          <w:p>
            <w:pPr>
              <w:pStyle w:val="Compact"/>
            </w:pPr>
            <w:r>
              <w:t xml:space="preserve">Two-arm contrast at c*: lot/reagent discrimination theta2; exact Fisher primary (Boschloo optional confirmatory)</w:t>
            </w:r>
          </w:p>
        </w:tc>
        <w:tc>
          <w:tcPr/>
          <w:p>
            <w:pPr>
              <w:pStyle w:val="Compact"/>
            </w:pPr>
            <w:r>
              <w:t xml:space="preserve">two-proportion exact Fisher-Boschloo</w:t>
            </w:r>
          </w:p>
        </w:tc>
      </w:tr>
      <w:tr>
        <w:tc>
          <w:tcPr/>
          <w:p>
            <w:r>
              <w:t>Qualitative pass criteria</w:t>
            </w:r>
          </w:p>
        </w:tc>
        <w:tc>
          <w:tcPr/>
          <w:p>
            <w:pPr>
              <w:pStyle w:val="Compact"/>
            </w:pPr>
            <w:r>
              <w:t xml:space="preserve">P(X&gt;=k)</w:t>
            </w:r>
          </w:p>
        </w:tc>
        <w:tc>
          <w:tcPr/>
          <w:p>
            <w:pPr>
              <w:pStyle w:val="Compact"/>
            </w:pPr>
            <w:r>
              <w:t xml:space="preserve">Qualitative pass rule (e.g. 19/20): operating event {X&gt;=k}; binomial pass probability distinct from benchmark confirmation</w:t>
            </w:r>
          </w:p>
        </w:tc>
        <w:tc>
          <w:tcPr/>
          <w:p>
            <w:pPr>
              <w:pStyle w:val="Compact"/>
            </w:pPr>
            <w:r>
              <w:t xml:space="preserve">binomial cumulative search</w:t>
            </w:r>
          </w:p>
        </w:tc>
      </w:tr>
    </w:tbl>
    <w:bookmarkEnd w:id="24"/>
    <w:bookmarkStart w:id="25" w:name="X570479e8805520fe088062f410444236d7d4c94"/>
    <w:p>
      <w:pPr>
        <w:pStyle w:val="Heading2"/>
      </w:pPr>
      <w:r>
        <w:t xml:space="preserve">Table 2. Two-arm operating characteristics: eight reference pairs at</w:t>
      </w:r>
      <w:r>
        <w:t xml:space="preserve"> </w:t>
      </w:r>
      <m:oMath>
        <m:r>
          <m:t>n</m:t>
        </m:r>
        <m:r>
          <m:rPr>
            <m:sty m:val="p"/>
          </m:rPr>
          <m:t>=</m:t>
        </m:r>
        <m:r>
          <m:t>20</m:t>
        </m:r>
      </m:oMath>
      <w:r>
        <w:t xml:space="preserve"> </w:t>
      </w:r>
      <w:r>
        <w:t xml:space="preserve">per arm</w:t>
      </w:r>
    </w:p>
    <w:p>
      <w:pPr>
        <w:pStyle w:val="FirstParagraph"/>
      </w:pPr>
      <w:r>
        <w:rPr>
          <w:i/>
          <w:iCs/>
        </w:rPr>
        <w:t xml:space="preserve">Full integer 50–99% comparison grid (1225 valid cells): online Supplementary Table 3 CSV extension.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m:oMath>
              <m:r>
                <m:rPr>
                  <m:sty m:val="p"/>
                </m:rPr>
                <m:t>(</m:t>
              </m:r>
              <m:sSub>
                <m:e>
                  <m:r>
                    <m:t>p</m:t>
                  </m:r>
                </m:e>
                <m:sub>
                  <m:r>
                    <m:t>A</m:t>
                  </m:r>
                </m:sub>
              </m:sSub>
              <m:r>
                <m:rPr>
                  <m:sty m:val="p"/>
                </m:rPr>
                <m:t>,</m:t>
              </m:r>
              <m:sSub>
                <m:e>
                  <m:r>
                    <m:t>p</m:t>
                  </m:r>
                </m:e>
                <m:sub>
                  <m:r>
                    <m:t>B</m:t>
                  </m:r>
                </m:sub>
              </m:sSub>
              <m:r>
                <m:rPr>
                  <m:sty m:val="p"/>
                </m:rPr>
                <m:t>)</m:t>
              </m:r>
            </m:oMath>
          </w:p>
        </w:tc>
        <w:tc>
          <w:tcPr/>
          <w:p>
            <w:pPr>
              <w:pStyle w:val="Compact"/>
            </w:pPr>
            <m:oMath>
              <m:r>
                <m:rPr>
                  <m:sty m:val="p"/>
                </m:rPr>
                <m:t>Δ</m:t>
              </m:r>
              <m:r>
                <m:t>p</m:t>
              </m:r>
            </m:oMath>
          </w:p>
        </w:tc>
        <w:tc>
          <w:tcPr/>
          <w:p>
            <w:pPr>
              <w:pStyle w:val="Compact"/>
            </w:pPr>
            <m:oMath>
              <m:r>
                <m:t>n</m:t>
              </m:r>
            </m:oMath>
            <w:r>
              <w:t xml:space="preserve">/arm</w:t>
            </w:r>
          </w:p>
        </w:tc>
        <w:tc>
          <w:tcPr/>
          <w:p>
            <w:pPr>
              <w:pStyle w:val="Compact"/>
            </w:pPr>
            <w:r>
              <w:t xml:space="preserve">Exact Fisher power</w:t>
            </w:r>
          </w:p>
        </w:tc>
        <w:tc>
          <w:tcPr/>
          <w:p>
            <w:pPr>
              <w:pStyle w:val="Compact"/>
            </w:pPr>
            <w:r>
              <w:t xml:space="preserve">Miss</w:t>
            </w:r>
            <w:r>
              <w:t xml:space="preserve"> </w:t>
            </w:r>
            <m:oMath>
              <m:r>
                <m:t>β</m:t>
              </m:r>
            </m:oMath>
          </w:p>
        </w:tc>
        <w:tc>
          <w:tcPr/>
          <w:p>
            <w:pPr>
              <w:pStyle w:val="Compact"/>
            </w:pPr>
            <m:oMath>
              <m:sSup>
                <m:e>
                  <m:r>
                    <m:t>n</m:t>
                  </m:r>
                </m:e>
                <m:sup>
                  <m:r>
                    <m:rPr>
                      <m:sty m:val="p"/>
                    </m:rPr>
                    <m:t>*</m:t>
                  </m:r>
                </m:sup>
              </m:sSup>
            </m:oMath>
            <w:r>
              <w:t xml:space="preserve"> </w:t>
            </w:r>
            <w:r>
              <w:t xml:space="preserve">(80% power)</w:t>
            </w:r>
          </w:p>
        </w:tc>
      </w:tr>
      <w:tr>
        <w:tc>
          <w:tcPr/>
          <w:p>
            <w:pPr>
              <w:pStyle w:val="Compact"/>
            </w:pPr>
            <w:r>
              <w:t xml:space="preserve">90/80</w:t>
            </w:r>
          </w:p>
        </w:tc>
        <w:tc>
          <w:tcPr/>
          <w:p>
            <w:pPr>
              <w:pStyle w:val="Compact"/>
            </w:pPr>
            <w:r>
              <w:t xml:space="preserve">0.100</w:t>
            </w:r>
          </w:p>
        </w:tc>
        <w:tc>
          <w:tcPr/>
          <w:p>
            <w:pPr>
              <w:pStyle w:val="Compact"/>
            </w:pPr>
            <w:r>
              <w:t xml:space="preserve">20</w:t>
            </w:r>
          </w:p>
        </w:tc>
        <w:tc>
          <w:tcPr/>
          <w:p>
            <w:pPr>
              <w:pStyle w:val="Compact"/>
            </w:pPr>
            <w:r>
              <w:t xml:space="preserve">0.072</w:t>
            </w:r>
          </w:p>
        </w:tc>
        <w:tc>
          <w:tcPr/>
          <w:p>
            <w:pPr>
              <w:pStyle w:val="Compact"/>
            </w:pPr>
            <w:r>
              <w:t xml:space="preserve">0.928</w:t>
            </w:r>
          </w:p>
        </w:tc>
        <w:tc>
          <w:tcPr/>
          <w:p>
            <w:pPr>
              <w:pStyle w:val="Compact"/>
            </w:pPr>
            <w:r>
              <w:t xml:space="preserve">199</w:t>
            </w:r>
          </w:p>
        </w:tc>
      </w:tr>
      <w:tr>
        <w:tc>
          <w:tcPr/>
          <w:p>
            <w:pPr>
              <w:pStyle w:val="Compact"/>
            </w:pPr>
            <w:r>
              <w:t xml:space="preserve">95/85</w:t>
            </w:r>
          </w:p>
        </w:tc>
        <w:tc>
          <w:tcPr/>
          <w:p>
            <w:pPr>
              <w:pStyle w:val="Compact"/>
            </w:pPr>
            <w:r>
              <w:t xml:space="preserve">0.100</w:t>
            </w:r>
          </w:p>
        </w:tc>
        <w:tc>
          <w:tcPr/>
          <w:p>
            <w:pPr>
              <w:pStyle w:val="Compact"/>
            </w:pPr>
            <w:r>
              <w:t xml:space="preserve">20</w:t>
            </w:r>
          </w:p>
        </w:tc>
        <w:tc>
          <w:tcPr/>
          <w:p>
            <w:pPr>
              <w:pStyle w:val="Compact"/>
            </w:pPr>
            <w:r>
              <w:t xml:space="preserve">0.070</w:t>
            </w:r>
          </w:p>
        </w:tc>
        <w:tc>
          <w:tcPr/>
          <w:p>
            <w:pPr>
              <w:pStyle w:val="Compact"/>
            </w:pPr>
            <w:r>
              <w:t xml:space="preserve">0.930</w:t>
            </w:r>
          </w:p>
        </w:tc>
        <w:tc>
          <w:tcPr/>
          <w:p>
            <w:pPr>
              <w:pStyle w:val="Compact"/>
            </w:pPr>
            <w:r>
              <w:t xml:space="preserve">141</w:t>
            </w:r>
          </w:p>
        </w:tc>
      </w:tr>
      <w:tr>
        <w:tc>
          <w:tcPr/>
          <w:p>
            <w:pPr>
              <w:pStyle w:val="Compact"/>
            </w:pPr>
            <w:r>
              <w:t xml:space="preserve">90/70</w:t>
            </w:r>
          </w:p>
        </w:tc>
        <w:tc>
          <w:tcPr/>
          <w:p>
            <w:pPr>
              <w:pStyle w:val="Compact"/>
            </w:pPr>
            <w:r>
              <w:t xml:space="preserve">0.200</w:t>
            </w:r>
          </w:p>
        </w:tc>
        <w:tc>
          <w:tcPr/>
          <w:p>
            <w:pPr>
              <w:pStyle w:val="Compact"/>
            </w:pPr>
            <w:r>
              <w:t xml:space="preserve">20</w:t>
            </w:r>
          </w:p>
        </w:tc>
        <w:tc>
          <w:tcPr/>
          <w:p>
            <w:pPr>
              <w:pStyle w:val="Compact"/>
            </w:pPr>
            <w:r>
              <w:t xml:space="preserve">0.242</w:t>
            </w:r>
          </w:p>
        </w:tc>
        <w:tc>
          <w:tcPr/>
          <w:p>
            <w:pPr>
              <w:pStyle w:val="Compact"/>
            </w:pPr>
            <w:r>
              <w:t xml:space="preserve">0.758</w:t>
            </w:r>
          </w:p>
        </w:tc>
        <w:tc>
          <w:tcPr/>
          <w:p>
            <w:pPr>
              <w:pStyle w:val="Compact"/>
            </w:pPr>
            <w:r>
              <w:t xml:space="preserve">62</w:t>
            </w:r>
          </w:p>
        </w:tc>
      </w:tr>
      <w:tr>
        <w:tc>
          <w:tcPr/>
          <w:p>
            <w:pPr>
              <w:pStyle w:val="Compact"/>
            </w:pPr>
            <w:r>
              <w:t xml:space="preserve">90/50</w:t>
            </w:r>
          </w:p>
        </w:tc>
        <w:tc>
          <w:tcPr/>
          <w:p>
            <w:pPr>
              <w:pStyle w:val="Compact"/>
            </w:pPr>
            <w:r>
              <w:t xml:space="preserve">0.400</w:t>
            </w:r>
          </w:p>
        </w:tc>
        <w:tc>
          <w:tcPr/>
          <w:p>
            <w:pPr>
              <w:pStyle w:val="Compact"/>
            </w:pPr>
            <w:r>
              <w:t xml:space="preserve">20</w:t>
            </w:r>
          </w:p>
        </w:tc>
        <w:tc>
          <w:tcPr/>
          <w:p>
            <w:pPr>
              <w:pStyle w:val="Compact"/>
            </w:pPr>
            <w:r>
              <w:t xml:space="preserve">0.742</w:t>
            </w:r>
          </w:p>
        </w:tc>
        <w:tc>
          <w:tcPr/>
          <w:p>
            <w:pPr>
              <w:pStyle w:val="Compact"/>
            </w:pPr>
            <w:r>
              <w:t xml:space="preserve">0.258</w:t>
            </w:r>
          </w:p>
        </w:tc>
        <w:tc>
          <w:tcPr/>
          <w:p>
            <w:pPr>
              <w:pStyle w:val="Compact"/>
            </w:pPr>
            <w:r>
              <w:t xml:space="preserve">20</w:t>
            </w:r>
          </w:p>
        </w:tc>
      </w:tr>
      <w:tr>
        <w:tc>
          <w:tcPr/>
          <w:p>
            <w:pPr>
              <w:pStyle w:val="Compact"/>
            </w:pPr>
            <w:r>
              <w:t xml:space="preserve">95/90</w:t>
            </w:r>
          </w:p>
        </w:tc>
        <w:tc>
          <w:tcPr/>
          <w:p>
            <w:pPr>
              <w:pStyle w:val="Compact"/>
            </w:pPr>
            <w:r>
              <w:t xml:space="preserve">0.050</w:t>
            </w:r>
          </w:p>
        </w:tc>
        <w:tc>
          <w:tcPr/>
          <w:p>
            <w:pPr>
              <w:pStyle w:val="Compact"/>
            </w:pPr>
            <w:r>
              <w:t xml:space="preserve">20</w:t>
            </w:r>
          </w:p>
        </w:tc>
        <w:tc>
          <w:tcPr/>
          <w:p>
            <w:pPr>
              <w:pStyle w:val="Compact"/>
            </w:pPr>
            <w:r>
              <w:t xml:space="preserve">0.017</w:t>
            </w:r>
          </w:p>
        </w:tc>
        <w:tc>
          <w:tcPr/>
          <w:p>
            <w:pPr>
              <w:pStyle w:val="Compact"/>
            </w:pPr>
            <w:r>
              <w:t xml:space="preserve">0.983</w:t>
            </w:r>
          </w:p>
        </w:tc>
        <w:tc>
          <w:tcPr/>
          <w:p>
            <w:pPr>
              <w:pStyle w:val="Compact"/>
            </w:pPr>
            <w:r>
              <w:t xml:space="preserve">435</w:t>
            </w:r>
          </w:p>
        </w:tc>
      </w:tr>
      <w:tr>
        <w:tc>
          <w:tcPr/>
          <w:p>
            <w:pPr>
              <w:pStyle w:val="Compact"/>
            </w:pPr>
            <w:r>
              <w:t xml:space="preserve">80/70</w:t>
            </w:r>
          </w:p>
        </w:tc>
        <w:tc>
          <w:tcPr/>
          <w:p>
            <w:pPr>
              <w:pStyle w:val="Compact"/>
            </w:pPr>
            <w:r>
              <w:t xml:space="preserve">0.100</w:t>
            </w:r>
          </w:p>
        </w:tc>
        <w:tc>
          <w:tcPr/>
          <w:p>
            <w:pPr>
              <w:pStyle w:val="Compact"/>
            </w:pPr>
            <w:r>
              <w:t xml:space="preserve">20</w:t>
            </w:r>
          </w:p>
        </w:tc>
        <w:tc>
          <w:tcPr/>
          <w:p>
            <w:pPr>
              <w:pStyle w:val="Compact"/>
            </w:pPr>
            <w:r>
              <w:t xml:space="preserve">0.062</w:t>
            </w:r>
          </w:p>
        </w:tc>
        <w:tc>
          <w:tcPr/>
          <w:p>
            <w:pPr>
              <w:pStyle w:val="Compact"/>
            </w:pPr>
            <w:r>
              <w:t xml:space="preserve">0.938</w:t>
            </w:r>
          </w:p>
        </w:tc>
        <w:tc>
          <w:tcPr/>
          <w:p>
            <w:pPr>
              <w:pStyle w:val="Compact"/>
            </w:pPr>
            <w:r>
              <w:t xml:space="preserve">294</w:t>
            </w:r>
          </w:p>
        </w:tc>
      </w:tr>
      <w:tr>
        <w:tc>
          <w:tcPr/>
          <w:p>
            <w:pPr>
              <w:pStyle w:val="Compact"/>
            </w:pPr>
            <w:r>
              <w:t xml:space="preserve">99/95</w:t>
            </w:r>
          </w:p>
        </w:tc>
        <w:tc>
          <w:tcPr/>
          <w:p>
            <w:pPr>
              <w:pStyle w:val="Compact"/>
            </w:pPr>
            <w:r>
              <w:t xml:space="preserve">0.040</w:t>
            </w:r>
          </w:p>
        </w:tc>
        <w:tc>
          <w:tcPr/>
          <w:p>
            <w:pPr>
              <w:pStyle w:val="Compact"/>
            </w:pPr>
            <w:r>
              <w:t xml:space="preserve">20</w:t>
            </w:r>
          </w:p>
        </w:tc>
        <w:tc>
          <w:tcPr/>
          <w:p>
            <w:pPr>
              <w:pStyle w:val="Compact"/>
            </w:pPr>
            <w:r>
              <w:t xml:space="preserve">0.002</w:t>
            </w:r>
          </w:p>
        </w:tc>
        <w:tc>
          <w:tcPr/>
          <w:p>
            <w:pPr>
              <w:pStyle w:val="Compact"/>
            </w:pPr>
            <w:r>
              <w:t xml:space="preserve">0.998</w:t>
            </w:r>
          </w:p>
        </w:tc>
        <w:tc>
          <w:tcPr/>
          <w:p>
            <w:pPr>
              <w:pStyle w:val="Compact"/>
            </w:pPr>
            <w:r>
              <w:t xml:space="preserve">285</w:t>
            </w:r>
          </w:p>
        </w:tc>
      </w:tr>
      <w:tr>
        <w:tc>
          <w:tcPr/>
          <w:p>
            <w:pPr>
              <w:pStyle w:val="Compact"/>
            </w:pPr>
            <w:r>
              <w:t xml:space="preserve">85/75</w:t>
            </w:r>
          </w:p>
        </w:tc>
        <w:tc>
          <w:tcPr/>
          <w:p>
            <w:pPr>
              <w:pStyle w:val="Compact"/>
            </w:pPr>
            <w:r>
              <w:t xml:space="preserve">0.100</w:t>
            </w:r>
          </w:p>
        </w:tc>
        <w:tc>
          <w:tcPr/>
          <w:p>
            <w:pPr>
              <w:pStyle w:val="Compact"/>
            </w:pPr>
            <w:r>
              <w:t xml:space="preserve">20</w:t>
            </w:r>
          </w:p>
        </w:tc>
        <w:tc>
          <w:tcPr/>
          <w:p>
            <w:pPr>
              <w:pStyle w:val="Compact"/>
            </w:pPr>
            <w:r>
              <w:t xml:space="preserve">0.067</w:t>
            </w:r>
          </w:p>
        </w:tc>
        <w:tc>
          <w:tcPr/>
          <w:p>
            <w:pPr>
              <w:pStyle w:val="Compact"/>
            </w:pPr>
            <w:r>
              <w:t xml:space="preserve">0.933</w:t>
            </w:r>
          </w:p>
        </w:tc>
        <w:tc>
          <w:tcPr/>
          <w:p>
            <w:pPr>
              <w:pStyle w:val="Compact"/>
            </w:pPr>
            <w:r>
              <w:t xml:space="preserve">250</w:t>
            </w:r>
          </w:p>
        </w:tc>
      </w:tr>
    </w:tbl>
    <w:bookmarkEnd w:id="25"/>
    <w:bookmarkStart w:id="26" w:name="X7f7ba027a695ccce1d4b509f610b8797d5227ad"/>
    <w:p>
      <w:pPr>
        <w:pStyle w:val="Heading2"/>
      </w:pPr>
      <w:r>
        <w:t xml:space="preserve">Table 3. Tier A public-deposit calibration meta-summary</w:t>
      </w:r>
    </w:p>
    <w:p>
      <w:pPr>
        <w:pStyle w:val="FirstParagraph"/>
      </w:pPr>
      <w:r>
        <w:rPr>
          <w:i/>
          <w:iCs/>
        </w:rPr>
        <w:t xml:space="preserve">One row per evidence-tier-A dataset (</w:t>
      </w:r>
      <m:oMath>
        <m:r>
          <m:t>n</m:t>
        </m:r>
        <m:r>
          <m:rPr>
            <m:sty m:val="p"/>
          </m:rPr>
          <m:t>=</m:t>
        </m:r>
        <m:r>
          <m:t>10</m:t>
        </m:r>
      </m:oMath>
      <w:r>
        <w:rPr>
          <w:i/>
          <w:iCs/>
        </w:rPr>
        <w:t xml:space="preserve">): parametric gate outcome, model path, guidance</w:t>
      </w:r>
      <w:r>
        <w:rPr>
          <w:i/>
          <w:iCs/>
        </w:rPr>
        <w:t xml:space="preserve"> </w:t>
      </w:r>
      <m:oMath>
        <m:r>
          <m:t>n</m:t>
        </m:r>
      </m:oMath>
      <w:r>
        <w:rPr>
          <w:i/>
          <w:iCs/>
        </w:rPr>
        <w:t xml:space="preserve"> </w:t>
      </w:r>
      <w:r>
        <w:rPr>
          <w:i/>
          <w:iCs/>
        </w:rPr>
        <w:t xml:space="preserve">versus conventional</w:t>
      </w:r>
      <w:r>
        <w:rPr>
          <w:i/>
          <w:iCs/>
        </w:rPr>
        <w:t xml:space="preserve"> </w:t>
      </w:r>
      <m:oMath>
        <m:r>
          <m:t>n</m:t>
        </m:r>
        <m:r>
          <m:rPr>
            <m:sty m:val="p"/>
          </m:rPr>
          <m:t>=</m:t>
        </m:r>
        <m:r>
          <m:t>20</m:t>
        </m:r>
      </m:oMath>
      <w:r>
        <w:rPr>
          <w:i/>
          <w:iCs/>
        </w:rPr>
        <w:t xml:space="preserve">, ratio</w:t>
      </w:r>
      <w:r>
        <w:rPr>
          <w:i/>
          <w:iCs/>
        </w:rPr>
        <w:t xml:space="preserve"> </w:t>
      </w:r>
      <m:oMath>
        <m:sSub>
          <m:e>
            <m:r>
              <m:t>n</m:t>
            </m:r>
          </m:e>
          <m:sub>
            <m:r>
              <m:rPr>
                <m:sty m:val="p"/>
              </m:rPr>
              <m:t>g</m:t>
            </m:r>
            <m:r>
              <m:rPr>
                <m:sty m:val="p"/>
              </m:rPr>
              <m:t>u</m:t>
            </m:r>
            <m:r>
              <m:rPr>
                <m:sty m:val="p"/>
              </m:rPr>
              <m:t>i</m:t>
            </m:r>
            <m:r>
              <m:rPr>
                <m:sty m:val="p"/>
              </m:rPr>
              <m:t>d</m:t>
            </m:r>
            <m:r>
              <m:rPr>
                <m:sty m:val="p"/>
              </m:rPr>
              <m:t>a</m:t>
            </m:r>
            <m:r>
              <m:rPr>
                <m:sty m:val="p"/>
              </m:rPr>
              <m:t>n</m:t>
            </m:r>
            <m:r>
              <m:rPr>
                <m:sty m:val="p"/>
              </m:rPr>
              <m:t>c</m:t>
            </m:r>
            <m:r>
              <m:rPr>
                <m:sty m:val="p"/>
              </m:rPr>
              <m:t>e</m:t>
            </m:r>
          </m:sub>
        </m:sSub>
        <m:r>
          <m:rPr>
            <m:sty m:val="p"/>
          </m:rPr>
          <m:t>/</m:t>
        </m:r>
        <m:sSub>
          <m:e>
            <m:r>
              <m:t>n</m:t>
            </m:r>
          </m:e>
          <m:sub>
            <m:r>
              <m:t>20</m:t>
            </m:r>
          </m:sub>
        </m:sSub>
      </m:oMath>
      <w:r>
        <w:rPr>
          <w:i/>
          <w:iCs/>
        </w:rPr>
        <w:t xml:space="preserve"> </w:t>
      </w:r>
      <w:r>
        <w:rPr>
          <w:i/>
          <w:iCs/>
        </w:rPr>
        <w:t xml:space="preserve">when applicable, and LoQ@CV20% when a precision profile applies. Blank ratio cells indicate no comparable guidance path or missing contrast inputs (Fig. 2B labels these “ratio N/A”). Tier C/S deposits are excluded by design. Supports Fig. 2.</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No.</w:t>
            </w:r>
          </w:p>
        </w:tc>
        <w:tc>
          <w:tcPr/>
          <w:p>
            <w:pPr>
              <w:pStyle w:val="Compact"/>
            </w:pPr>
            <w:r>
              <w:t xml:space="preserve">Source</w:t>
            </w:r>
          </w:p>
        </w:tc>
        <w:tc>
          <w:tcPr/>
          <w:p>
            <w:pPr>
              <w:pStyle w:val="Compact"/>
            </w:pPr>
            <w:r>
              <w:t xml:space="preserve">Result family</w:t>
            </w:r>
          </w:p>
        </w:tc>
        <w:tc>
          <w:tcPr/>
          <w:p>
            <w:pPr>
              <w:pStyle w:val="Compact"/>
            </w:pPr>
            <w:r>
              <w:t xml:space="preserve">Model path</w:t>
            </w:r>
          </w:p>
        </w:tc>
        <w:tc>
          <w:tcPr/>
          <w:p>
            <w:pPr>
              <w:pStyle w:val="Compact"/>
            </w:pPr>
            <w:r>
              <w:t xml:space="preserve">Guidance</w:t>
            </w:r>
            <w:r>
              <w:t xml:space="preserve"> </w:t>
            </w:r>
            <m:oMath>
              <m:r>
                <m:t>n</m:t>
              </m:r>
            </m:oMath>
          </w:p>
        </w:tc>
        <w:tc>
          <w:tcPr/>
          <w:p>
            <w:pPr>
              <w:pStyle w:val="Compact"/>
            </w:pPr>
            <w:r>
              <w:t xml:space="preserve">Conventional</w:t>
            </w:r>
            <w:r>
              <w:t xml:space="preserve"> </w:t>
            </w:r>
            <m:oMath>
              <m:r>
                <m:t>n</m:t>
              </m:r>
            </m:oMath>
          </w:p>
        </w:tc>
        <w:tc>
          <w:tcPr/>
          <w:p>
            <w:pPr>
              <w:pStyle w:val="Compact"/>
            </w:pPr>
            <m:oMath>
              <m:sSub>
                <m:e>
                  <m:r>
                    <m:t>n</m:t>
                  </m:r>
                </m:e>
                <m:sub>
                  <m:r>
                    <m:rPr>
                      <m:sty m:val="p"/>
                    </m:rPr>
                    <m:t>g</m:t>
                  </m:r>
                  <m:r>
                    <m:rPr>
                      <m:sty m:val="p"/>
                    </m:rPr>
                    <m:t>u</m:t>
                  </m:r>
                  <m:r>
                    <m:rPr>
                      <m:sty m:val="p"/>
                    </m:rPr>
                    <m:t>i</m:t>
                  </m:r>
                  <m:r>
                    <m:rPr>
                      <m:sty m:val="p"/>
                    </m:rPr>
                    <m:t>d</m:t>
                  </m:r>
                  <m:r>
                    <m:rPr>
                      <m:sty m:val="p"/>
                    </m:rPr>
                    <m:t>a</m:t>
                  </m:r>
                  <m:r>
                    <m:rPr>
                      <m:sty m:val="p"/>
                    </m:rPr>
                    <m:t>n</m:t>
                  </m:r>
                  <m:r>
                    <m:rPr>
                      <m:sty m:val="p"/>
                    </m:rPr>
                    <m:t>c</m:t>
                  </m:r>
                  <m:r>
                    <m:rPr>
                      <m:sty m:val="p"/>
                    </m:rPr>
                    <m:t>e</m:t>
                  </m:r>
                </m:sub>
              </m:sSub>
              <m:r>
                <m:rPr>
                  <m:sty m:val="p"/>
                </m:rPr>
                <m:t>/</m:t>
              </m:r>
              <m:sSub>
                <m:e>
                  <m:r>
                    <m:t>n</m:t>
                  </m:r>
                </m:e>
                <m:sub>
                  <m:r>
                    <m:t>20</m:t>
                  </m:r>
                </m:sub>
              </m:sSub>
            </m:oMath>
          </w:p>
        </w:tc>
        <w:tc>
          <w:tcPr/>
          <w:p>
            <w:pPr>
              <w:pStyle w:val="Compact"/>
            </w:pPr>
            <w:r>
              <w:t xml:space="preserve">LoQ@CV20%</w:t>
            </w:r>
          </w:p>
        </w:tc>
      </w:tr>
      <w:tr>
        <w:tc>
          <w:tcPr/>
          <w:p>
            <w:pPr>
              <w:pStyle w:val="Compact"/>
            </w:pPr>
            <w:r>
              <w:t xml:space="preserve">1</w:t>
            </w:r>
          </w:p>
        </w:tc>
        <w:tc>
          <w:tcPr/>
          <w:p>
            <w:pPr>
              <w:pStyle w:val="Compact"/>
            </w:pPr>
            <w:r>
              <w:t xml:space="preserve">Piaggio et al. (2024)</w:t>
            </w:r>
          </w:p>
        </w:tc>
        <w:tc>
          <w:tcPr/>
          <w:p>
            <w:pPr>
              <w:pStyle w:val="Compact"/>
            </w:pPr>
            <w:r>
              <w:t xml:space="preserve">qpcr_cq_continuous</w:t>
            </w:r>
          </w:p>
        </w:tc>
        <w:tc>
          <w:tcPr/>
          <w:p>
            <w:pPr>
              <w:pStyle w:val="Compact"/>
            </w:pPr>
            <w:r>
              <w:t xml:space="preserve">nonparametric_percentile</w:t>
            </w:r>
          </w:p>
        </w:tc>
        <w:tc>
          <w:tcPr/>
          <w:p>
            <w:r>
              <w:t>199</w:t>
            </w:r>
          </w:p>
        </w:tc>
        <w:tc>
          <w:tcPr/>
          <w:p>
            <w:pPr>
              <w:pStyle w:val="Compact"/>
            </w:pPr>
            <w:r>
              <w:t xml:space="preserve">20</w:t>
            </w:r>
          </w:p>
        </w:tc>
        <w:tc>
          <w:tcPr/>
          <w:p>
            <w:r>
              <w:t>9.950</w:t>
            </w:r>
          </w:p>
        </w:tc>
        <w:tc>
          <w:tcPr/>
          <w:p>
            <w:pPr>
              <w:pStyle w:val="Compact"/>
            </w:pPr>
          </w:p>
        </w:tc>
      </w:tr>
      <w:tr>
        <w:tc>
          <w:tcPr/>
          <w:p>
            <w:pPr>
              <w:pStyle w:val="Compact"/>
            </w:pPr>
            <w:r>
              <w:t xml:space="preserve">2</w:t>
            </w:r>
          </w:p>
        </w:tc>
        <w:tc>
          <w:tcPr/>
          <w:p>
            <w:pPr>
              <w:pStyle w:val="Compact"/>
            </w:pPr>
            <w:r>
              <w:t xml:space="preserve">Piaggio et al. (2024)</w:t>
            </w:r>
          </w:p>
        </w:tc>
        <w:tc>
          <w:tcPr/>
          <w:p>
            <w:pPr>
              <w:pStyle w:val="Compact"/>
            </w:pPr>
            <w:r>
              <w:t xml:space="preserve">qpcr_cq_continuous</w:t>
            </w:r>
          </w:p>
        </w:tc>
        <w:tc>
          <w:tcPr/>
          <w:p>
            <w:pPr>
              <w:pStyle w:val="Compact"/>
            </w:pPr>
            <w:r>
              <w:t xml:space="preserve">nonparametric_percentile</w:t>
            </w:r>
          </w:p>
        </w:tc>
        <w:tc>
          <w:tcPr/>
          <w:p>
            <w:r>
              <w:t>199</w:t>
            </w:r>
          </w:p>
        </w:tc>
        <w:tc>
          <w:tcPr/>
          <w:p>
            <w:pPr>
              <w:pStyle w:val="Compact"/>
            </w:pPr>
            <w:r>
              <w:t xml:space="preserve">20</w:t>
            </w:r>
          </w:p>
        </w:tc>
        <w:tc>
          <w:tcPr/>
          <w:p>
            <w:r>
              <w:t>9.950</w:t>
            </w:r>
          </w:p>
        </w:tc>
        <w:tc>
          <w:tcPr/>
          <w:p>
            <w:pPr>
              <w:pStyle w:val="Compact"/>
            </w:pPr>
          </w:p>
        </w:tc>
      </w:tr>
      <w:tr>
        <w:tc>
          <w:tcPr/>
          <w:p>
            <w:pPr>
              <w:pStyle w:val="Compact"/>
            </w:pPr>
            <w:r>
              <w:t xml:space="preserve">3</w:t>
            </w:r>
          </w:p>
        </w:tc>
        <w:tc>
          <w:tcPr/>
          <w:p>
            <w:pPr>
              <w:pStyle w:val="Compact"/>
            </w:pPr>
            <w:r>
              <w:t xml:space="preserve">Analyse-it EP17 workbook</w:t>
            </w:r>
          </w:p>
        </w:tc>
        <w:tc>
          <w:tcPr/>
          <w:p>
            <w:pPr>
              <w:pStyle w:val="Compact"/>
            </w:pPr>
            <w:r>
              <w:t xml:space="preserve">immunoassay_continuous</w:t>
            </w:r>
          </w:p>
        </w:tc>
        <w:tc>
          <w:tcPr/>
          <w:p>
            <w:pPr>
              <w:pStyle w:val="Compact"/>
            </w:pPr>
            <w:r>
              <w:t xml:space="preserve">nonparametric_percentile</w:t>
            </w:r>
          </w:p>
        </w:tc>
        <w:tc>
          <w:tcPr/>
          <w:p>
            <w:pPr>
              <w:pStyle w:val="Compact"/>
            </w:pPr>
            <w:r>
              <w:t xml:space="preserve">53</w:t>
            </w:r>
          </w:p>
        </w:tc>
        <w:tc>
          <w:tcPr/>
          <w:p>
            <w:pPr>
              <w:pStyle w:val="Compact"/>
            </w:pPr>
            <w:r>
              <w:t xml:space="preserve">20</w:t>
            </w:r>
          </w:p>
        </w:tc>
        <w:tc>
          <w:tcPr/>
          <w:p>
            <w:pPr>
              <w:pStyle w:val="Compact"/>
            </w:pPr>
            <w:r>
              <w:t xml:space="preserve">2.650</w:t>
            </w:r>
          </w:p>
        </w:tc>
        <w:tc>
          <w:tcPr/>
          <w:p>
            <w:pPr>
              <w:pStyle w:val="Compact"/>
            </w:pPr>
          </w:p>
        </w:tc>
      </w:tr>
      <w:tr>
        <w:tc>
          <w:tcPr/>
          <w:p>
            <w:pPr>
              <w:pStyle w:val="Compact"/>
            </w:pPr>
            <w:r>
              <w:t xml:space="preserve">4</w:t>
            </w:r>
          </w:p>
        </w:tc>
        <w:tc>
          <w:tcPr/>
          <w:p>
            <w:pPr>
              <w:pStyle w:val="Compact"/>
            </w:pPr>
            <w:r>
              <w:t xml:space="preserve">Analyse-it EP17 workbook</w:t>
            </w:r>
          </w:p>
        </w:tc>
        <w:tc>
          <w:tcPr/>
          <w:p>
            <w:pPr>
              <w:pStyle w:val="Compact"/>
            </w:pPr>
            <w:r>
              <w:t xml:space="preserve">probit_hit_rate</w:t>
            </w:r>
          </w:p>
        </w:tc>
        <w:tc>
          <w:tcPr/>
          <w:p>
            <w:pPr>
              <w:pStyle w:val="Compact"/>
            </w:pPr>
          </w:p>
        </w:tc>
        <w:tc>
          <w:tcPr/>
          <w:p>
            <w:r>
              <w:t>199</w:t>
            </w:r>
          </w:p>
        </w:tc>
        <w:tc>
          <w:tcPr/>
          <w:p>
            <w:pPr>
              <w:pStyle w:val="Compact"/>
            </w:pPr>
            <w:r>
              <w:t xml:space="preserve">20</w:t>
            </w:r>
          </w:p>
        </w:tc>
        <w:tc>
          <w:tcPr/>
          <w:p>
            <w:r>
              <w:t>9.950</w:t>
            </w:r>
          </w:p>
        </w:tc>
        <w:tc>
          <w:tcPr/>
          <w:p>
            <w:pPr>
              <w:pStyle w:val="Compact"/>
            </w:pPr>
          </w:p>
        </w:tc>
      </w:tr>
      <w:tr>
        <w:tc>
          <w:tcPr/>
          <w:p>
            <w:pPr>
              <w:pStyle w:val="Compact"/>
            </w:pPr>
            <w:r>
              <w:t xml:space="preserve">5</w:t>
            </w:r>
          </w:p>
        </w:tc>
        <w:tc>
          <w:tcPr/>
          <w:p>
            <w:pPr>
              <w:pStyle w:val="Compact"/>
            </w:pPr>
            <w:r>
              <w:t xml:space="preserve">Carobene et al. (2026)</w:t>
            </w:r>
          </w:p>
        </w:tc>
        <w:tc>
          <w:tcPr/>
          <w:p>
            <w:pPr>
              <w:pStyle w:val="Compact"/>
            </w:pPr>
            <w:r>
              <w:t xml:space="preserve">clinical_chemistry_multilab</w:t>
            </w:r>
          </w:p>
        </w:tc>
        <w:tc>
          <w:tcPr/>
          <w:p>
            <w:pPr>
              <w:pStyle w:val="Compact"/>
            </w:pPr>
            <w:r>
              <w:t xml:space="preserve">nonparametric_percentile</w:t>
            </w:r>
          </w:p>
        </w:tc>
        <w:tc>
          <w:tcPr/>
          <w:p>
            <w:pPr>
              <w:pStyle w:val="Compact"/>
            </w:pPr>
            <w:r>
              <w:t xml:space="preserve">53</w:t>
            </w:r>
          </w:p>
        </w:tc>
        <w:tc>
          <w:tcPr/>
          <w:p>
            <w:pPr>
              <w:pStyle w:val="Compact"/>
            </w:pPr>
            <w:r>
              <w:t xml:space="preserve">20</w:t>
            </w:r>
          </w:p>
        </w:tc>
        <w:tc>
          <w:tcPr/>
          <w:p>
            <w:pPr>
              <w:pStyle w:val="Compact"/>
            </w:pPr>
          </w:p>
        </w:tc>
        <w:tc>
          <w:tcPr/>
          <w:p>
            <w:pPr>
              <w:pStyle w:val="Compact"/>
            </w:pPr>
          </w:p>
        </w:tc>
      </w:tr>
      <w:tr>
        <w:tc>
          <w:tcPr/>
          <w:p>
            <w:pPr>
              <w:pStyle w:val="Compact"/>
            </w:pPr>
            <w:r>
              <w:t xml:space="preserve">6</w:t>
            </w:r>
          </w:p>
        </w:tc>
        <w:tc>
          <w:tcPr/>
          <w:p>
            <w:pPr>
              <w:pStyle w:val="Compact"/>
            </w:pPr>
            <w:r>
              <w:t xml:space="preserve">MSstatsLOBD / CPTAC</w:t>
            </w:r>
          </w:p>
        </w:tc>
        <w:tc>
          <w:tcPr/>
          <w:p>
            <w:pPr>
              <w:pStyle w:val="Compact"/>
            </w:pPr>
            <w:r>
              <w:t xml:space="preserve">proteomics_blank_lob</w:t>
            </w:r>
          </w:p>
        </w:tc>
        <w:tc>
          <w:tcPr/>
          <w:p>
            <w:pPr>
              <w:pStyle w:val="Compact"/>
            </w:pPr>
            <w:r>
              <w:t xml:space="preserve">parametric_lognormal</w:t>
            </w:r>
          </w:p>
        </w:tc>
        <w:tc>
          <w:tcPr/>
          <w:p>
            <w:pPr>
              <w:pStyle w:val="Compact"/>
            </w:pPr>
            <w:r>
              <w:t xml:space="preserve">53</w:t>
            </w:r>
          </w:p>
        </w:tc>
        <w:tc>
          <w:tcPr/>
          <w:p>
            <w:pPr>
              <w:pStyle w:val="Compact"/>
            </w:pPr>
            <w:r>
              <w:t xml:space="preserve">20</w:t>
            </w:r>
          </w:p>
        </w:tc>
        <w:tc>
          <w:tcPr/>
          <w:p>
            <w:pPr>
              <w:pStyle w:val="Compact"/>
            </w:pPr>
            <w:r>
              <w:t xml:space="preserve">2.650</w:t>
            </w:r>
          </w:p>
        </w:tc>
        <w:tc>
          <w:tcPr/>
          <w:p>
            <w:pPr>
              <w:pStyle w:val="Compact"/>
            </w:pPr>
          </w:p>
        </w:tc>
      </w:tr>
      <w:tr>
        <w:tc>
          <w:tcPr/>
          <w:p>
            <w:pPr>
              <w:pStyle w:val="Compact"/>
            </w:pPr>
            <w:r>
              <w:t xml:space="preserve">7</w:t>
            </w:r>
          </w:p>
        </w:tc>
        <w:tc>
          <w:tcPr/>
          <w:p>
            <w:pPr>
              <w:pStyle w:val="Compact"/>
            </w:pPr>
            <w:r>
              <w:t xml:space="preserve">Malkamäki et al. (2024)</w:t>
            </w:r>
          </w:p>
        </w:tc>
        <w:tc>
          <w:tcPr/>
          <w:p>
            <w:pPr>
              <w:pStyle w:val="Compact"/>
            </w:pPr>
            <w:r>
              <w:t xml:space="preserve">radioimmuno_precision_profile</w:t>
            </w:r>
          </w:p>
        </w:tc>
        <w:tc>
          <w:tcPr/>
          <w:p>
            <w:pPr>
              <w:pStyle w:val="Compact"/>
            </w:pPr>
            <w:r>
              <w:t xml:space="preserve">parametric_normal</w:t>
            </w:r>
          </w:p>
        </w:tc>
        <w:tc>
          <w:tcPr/>
          <w:p>
            <w:pPr>
              <w:pStyle w:val="Compact"/>
            </w:pPr>
            <w:r>
              <w:t xml:space="preserve">53</w:t>
            </w:r>
          </w:p>
        </w:tc>
        <w:tc>
          <w:tcPr/>
          <w:p>
            <w:pPr>
              <w:pStyle w:val="Compact"/>
            </w:pPr>
            <w:r>
              <w:t xml:space="preserve">20</w:t>
            </w:r>
          </w:p>
        </w:tc>
        <w:tc>
          <w:tcPr/>
          <w:p>
            <w:pPr>
              <w:pStyle w:val="Compact"/>
            </w:pPr>
            <w:r>
              <w:t xml:space="preserve">2.650</w:t>
            </w:r>
          </w:p>
        </w:tc>
        <w:tc>
          <w:tcPr/>
          <w:p>
            <w:pPr>
              <w:pStyle w:val="Compact"/>
            </w:pPr>
          </w:p>
        </w:tc>
      </w:tr>
      <w:tr>
        <w:tc>
          <w:tcPr/>
          <w:p>
            <w:pPr>
              <w:pStyle w:val="Compact"/>
            </w:pPr>
            <w:r>
              <w:t xml:space="preserve">8</w:t>
            </w:r>
          </w:p>
        </w:tc>
        <w:tc>
          <w:tcPr/>
          <w:p>
            <w:pPr>
              <w:pStyle w:val="Compact"/>
            </w:pPr>
            <w:r>
              <w:t xml:space="preserve">Malkamäki et al. (2024)</w:t>
            </w:r>
          </w:p>
        </w:tc>
        <w:tc>
          <w:tcPr/>
          <w:p>
            <w:pPr>
              <w:pStyle w:val="Compact"/>
            </w:pPr>
            <w:r>
              <w:t xml:space="preserve">radioimmuno_linearity_continuous</w:t>
            </w:r>
          </w:p>
        </w:tc>
        <w:tc>
          <w:tcPr/>
          <w:p>
            <w:pPr>
              <w:pStyle w:val="Compact"/>
            </w:pPr>
          </w:p>
        </w:tc>
        <w:tc>
          <w:tcPr/>
          <w:p>
            <w:pPr>
              <w:pStyle w:val="Compact"/>
            </w:pPr>
          </w:p>
        </w:tc>
        <w:tc>
          <w:tcPr/>
          <w:p>
            <w:pPr>
              <w:pStyle w:val="Compact"/>
            </w:pPr>
            <w:r>
              <w:t xml:space="preserve">20</w:t>
            </w:r>
          </w:p>
        </w:tc>
        <w:tc>
          <w:tcPr/>
          <w:p>
            <w:pPr>
              <w:pStyle w:val="Compact"/>
            </w:pPr>
          </w:p>
        </w:tc>
        <w:tc>
          <w:tcPr/>
          <w:p>
            <w:pPr>
              <w:pStyle w:val="Compact"/>
            </w:pPr>
          </w:p>
        </w:tc>
      </w:tr>
      <w:tr>
        <w:tc>
          <w:tcPr/>
          <w:p>
            <w:pPr>
              <w:pStyle w:val="Compact"/>
            </w:pPr>
            <w:r>
              <w:t xml:space="preserve">9</w:t>
            </w:r>
          </w:p>
        </w:tc>
        <w:tc>
          <w:tcPr/>
          <w:p>
            <w:pPr>
              <w:pStyle w:val="Compact"/>
            </w:pPr>
            <w:r>
              <w:t xml:space="preserve">plos_bzdok2024_trec_lod</w:t>
            </w:r>
          </w:p>
        </w:tc>
        <w:tc>
          <w:tcPr/>
          <w:p>
            <w:pPr>
              <w:pStyle w:val="Compact"/>
            </w:pPr>
            <w:r>
              <w:t xml:space="preserve">hospital_qpcr_lod_replicates</w:t>
            </w:r>
          </w:p>
        </w:tc>
        <w:tc>
          <w:tcPr/>
          <w:p>
            <w:pPr>
              <w:pStyle w:val="Compact"/>
            </w:pPr>
            <w:r>
              <w:t xml:space="preserve">parametric_normal</w:t>
            </w:r>
          </w:p>
        </w:tc>
        <w:tc>
          <w:tcPr/>
          <w:p>
            <w:r>
              <w:t>199</w:t>
            </w:r>
          </w:p>
        </w:tc>
        <w:tc>
          <w:tcPr/>
          <w:p>
            <w:pPr>
              <w:pStyle w:val="Compact"/>
            </w:pPr>
            <w:r>
              <w:t xml:space="preserve">20</w:t>
            </w:r>
          </w:p>
        </w:tc>
        <w:tc>
          <w:tcPr/>
          <w:p>
            <w:r>
              <w:t>9.950</w:t>
            </w:r>
          </w:p>
        </w:tc>
        <w:tc>
          <w:tcPr/>
          <w:p>
            <w:pPr>
              <w:pStyle w:val="Compact"/>
            </w:pPr>
          </w:p>
        </w:tc>
      </w:tr>
      <w:tr>
        <w:tc>
          <w:tcPr/>
          <w:p>
            <w:pPr>
              <w:pStyle w:val="Compact"/>
            </w:pPr>
            <w:r>
              <w:t xml:space="preserve">10</w:t>
            </w:r>
          </w:p>
        </w:tc>
        <w:tc>
          <w:tcPr/>
          <w:p>
            <w:pPr>
              <w:pStyle w:val="Compact"/>
            </w:pPr>
            <w:r>
              <w:t xml:space="preserve">Sawant et al. (2025)</w:t>
            </w:r>
          </w:p>
        </w:tc>
        <w:tc>
          <w:tcPr/>
          <w:p>
            <w:pPr>
              <w:pStyle w:val="Compact"/>
            </w:pPr>
            <w:r>
              <w:t xml:space="preserve">rmn_microneutralization_continuous</w:t>
            </w:r>
          </w:p>
        </w:tc>
        <w:tc>
          <w:tcPr/>
          <w:p>
            <w:pPr>
              <w:pStyle w:val="Compact"/>
            </w:pPr>
            <w:r>
              <w:t xml:space="preserve">nonparametric_percentile</w:t>
            </w:r>
          </w:p>
        </w:tc>
        <w:tc>
          <w:tcPr/>
          <w:p>
            <w:pPr>
              <w:pStyle w:val="Compact"/>
            </w:pPr>
            <w:r>
              <w:t xml:space="preserve">53</w:t>
            </w:r>
          </w:p>
        </w:tc>
        <w:tc>
          <w:tcPr/>
          <w:p>
            <w:pPr>
              <w:pStyle w:val="Compact"/>
            </w:pPr>
            <w:r>
              <w:t xml:space="preserve">20</w:t>
            </w:r>
          </w:p>
        </w:tc>
        <w:tc>
          <w:tcPr/>
          <w:p>
            <w:pPr>
              <w:pStyle w:val="Compact"/>
            </w:pPr>
            <w:r>
              <w:t xml:space="preserve">2.650</w:t>
            </w:r>
          </w:p>
        </w:tc>
        <w:tc>
          <w:tcPr/>
          <w:p>
            <w:pPr>
              <w:pStyle w:val="Compact"/>
            </w:pPr>
          </w:p>
        </w:tc>
      </w:tr>
    </w:tbl>
    <w:bookmarkEnd w:id="26"/>
    <w:bookmarkEnd w:id="27"/>
    <w:bookmarkStart w:id="30" w:name="figure-legends"/>
    <w:p>
      <w:pPr>
        <w:pStyle w:val="Heading1"/>
      </w:pPr>
      <w:r>
        <w:t xml:space="preserve">Figure legends</w:t>
      </w:r>
    </w:p>
    <w:bookmarkStart w:id="28" w:name="X9e3c502f931c5811a4f04cb744b691fef912737"/>
    <w:p>
      <w:pPr>
        <w:pStyle w:val="Heading2"/>
      </w:pPr>
      <w:r>
        <w:t xml:space="preserve">Fig. 1. Prospective LoD protocol and two-arm replicate planning (panels A–D)</w:t>
      </w:r>
    </w:p>
    <w:p>
      <w:pPr>
        <w:pStyle w:val="FirstParagraph"/>
      </w:pPr>
      <w:r>
        <w:t xml:space="preserve">Operating characteristics for two-arm hit-rate comparison at verification concentration</w:t>
      </w:r>
      <w:r>
        <w:t xml:space="preserve"> </w:t>
      </w:r>
      <m:oMath>
        <m:sSup>
          <m:e>
            <m:r>
              <m:t>c</m:t>
            </m:r>
          </m:e>
          <m:sup>
            <m:r>
              <m:rPr>
                <m:sty m:val="p"/>
              </m:rPr>
              <m:t>*</m:t>
            </m:r>
          </m:sup>
        </m:sSup>
      </m:oMath>
      <w:r>
        <w:t xml:space="preserve">, with logistic dose–response calibration (Supplement §S2c; default</w:t>
      </w:r>
      <w:r>
        <w:t xml:space="preserve"> </w:t>
      </w:r>
      <m:oMath>
        <m:r>
          <m:t>γ</m:t>
        </m:r>
        <m:r>
          <m:rPr>
            <m:sty m:val="p"/>
          </m:rPr>
          <m:t>=</m:t>
        </m:r>
        <m:r>
          <m:t>2</m:t>
        </m:r>
      </m:oMath>
      <w:r>
        <w:t xml:space="preserve"> </w:t>
      </w:r>
      <w:r>
        <w:t xml:space="preserve">per</w:t>
      </w:r>
      <w:r>
        <w:t xml:space="preserve"> </w:t>
      </w:r>
      <m:oMath>
        <m:sSub>
          <m:e>
            <m:r>
              <m:rPr>
                <m:sty m:val="p"/>
              </m:rPr>
              <m:t>log</m:t>
            </m:r>
          </m:e>
          <m:sub>
            <m:r>
              <m:t>10</m:t>
            </m:r>
          </m:sub>
        </m:sSub>
      </m:oMath>
      <w:r>
        <w:t xml:space="preserve"> </w:t>
      </w:r>
      <w:r>
        <w:t xml:space="preserve">decade; Methods).</w:t>
      </w:r>
    </w:p>
    <w:p>
      <w:pPr>
        <w:pStyle w:val="BodyText"/>
      </w:pPr>
      <w:r>
        <w:t xml:space="preserve">A. Three-step planning banner (lock the claim, score n=20, plan n* as a function of delta p); heatmaps use the integer</w:t>
      </w:r>
      <w:r>
        <w:t xml:space="preserve"> </w:t>
      </w:r>
      <m:oMath>
        <m:r>
          <m:rPr>
            <m:sty m:val="p"/>
          </m:rPr>
          <m:t>(</m:t>
        </m:r>
        <m:sSub>
          <m:e>
            <m:r>
              <m:t>p</m:t>
            </m:r>
          </m:e>
          <m:sub>
            <m:r>
              <m:t>A</m:t>
            </m:r>
          </m:sub>
        </m:sSub>
        <m:r>
          <m:rPr>
            <m:sty m:val="p"/>
          </m:rPr>
          <m:t>,</m:t>
        </m:r>
        <m:sSub>
          <m:e>
            <m:r>
              <m:t>p</m:t>
            </m:r>
          </m:e>
          <m:sub>
            <m:r>
              <m:t>B</m:t>
            </m:r>
          </m:sub>
        </m:sSub>
        <m:r>
          <m:rPr>
            <m:sty m:val="p"/>
          </m:rPr>
          <m:t>)</m:t>
        </m:r>
      </m:oMath>
      <w:r>
        <w:t xml:space="preserve"> </w:t>
      </w:r>
      <w:r>
        <w:t xml:space="preserve">lattice: comparative claim</w:t>
      </w:r>
      <w:r>
        <w:t xml:space="preserve"> </w:t>
      </w:r>
      <m:oMath>
        <m:sSub>
          <m:e>
            <m:r>
              <m:t>θ</m:t>
            </m:r>
          </m:e>
          <m:sub>
            <m:r>
              <m:t>2</m:t>
            </m:r>
          </m:sub>
        </m:sSub>
        <m:r>
          <m:rPr>
            <m:sty m:val="p"/>
          </m:rPr>
          <m:t>=</m:t>
        </m:r>
        <m:sSub>
          <m:e>
            <m:r>
              <m:t>p</m:t>
            </m:r>
          </m:e>
          <m:sub>
            <m:r>
              <m:t>A</m:t>
            </m:r>
          </m:sub>
        </m:sSub>
        <m:r>
          <m:rPr>
            <m:sty m:val="p"/>
          </m:rPr>
          <m:t>(</m:t>
        </m:r>
        <m:sSup>
          <m:e>
            <m:r>
              <m:t>c</m:t>
            </m:r>
          </m:e>
          <m:sup>
            <m:r>
              <m:rPr>
                <m:sty m:val="p"/>
              </m:rPr>
              <m:t>*</m:t>
            </m:r>
          </m:sup>
        </m:sSup>
        <m:r>
          <m:rPr>
            <m:sty m:val="p"/>
          </m:rPr>
          <m:t>)</m:t>
        </m:r>
        <m:r>
          <m:rPr>
            <m:sty m:val="p"/>
          </m:rPr>
          <m:t>−</m:t>
        </m:r>
        <m:sSub>
          <m:e>
            <m:r>
              <m:t>p</m:t>
            </m:r>
          </m:e>
          <m:sub>
            <m:r>
              <m:t>B</m:t>
            </m:r>
          </m:sub>
        </m:sSub>
        <m:r>
          <m:rPr>
            <m:sty m:val="p"/>
          </m:rPr>
          <m:t>(</m:t>
        </m:r>
        <m:sSup>
          <m:e>
            <m:r>
              <m:t>c</m:t>
            </m:r>
          </m:e>
          <m:sup>
            <m:r>
              <m:rPr>
                <m:sty m:val="p"/>
              </m:rPr>
              <m:t>*</m:t>
            </m:r>
          </m:sup>
        </m:sSup>
        <m:r>
          <m:rPr>
            <m:sty m:val="p"/>
          </m:rPr>
          <m:t>)</m:t>
        </m:r>
      </m:oMath>
      <w:r>
        <w:t xml:space="preserve">; operating-characteristic surfaces</w:t>
      </w:r>
      <w:r>
        <w:t xml:space="preserve"> </w:t>
      </w:r>
      <m:oMath>
        <m:sSub>
          <m:e>
            <m:r>
              <m:t>π</m:t>
            </m:r>
          </m:e>
          <m:sub>
            <m:r>
              <m:rPr>
                <m:sty m:val="p"/>
              </m:rPr>
              <m:t>F</m:t>
            </m:r>
            <m:r>
              <m:rPr>
                <m:sty m:val="p"/>
              </m:rPr>
              <m:t>i</m:t>
            </m:r>
            <m:r>
              <m:rPr>
                <m:sty m:val="p"/>
              </m:rPr>
              <m:t>s</m:t>
            </m:r>
            <m:r>
              <m:rPr>
                <m:sty m:val="p"/>
              </m:rPr>
              <m:t>h</m:t>
            </m:r>
            <m:r>
              <m:rPr>
                <m:sty m:val="p"/>
              </m:rPr>
              <m:t>e</m:t>
            </m:r>
            <m:r>
              <m:rPr>
                <m:sty m:val="p"/>
              </m:rPr>
              <m:t>r</m:t>
            </m:r>
          </m:sub>
        </m:sSub>
        <m:r>
          <m:rPr>
            <m:sty m:val="p"/>
          </m:rPr>
          <m:t>(</m:t>
        </m:r>
        <m:sSub>
          <m:e>
            <m:r>
              <m:t>p</m:t>
            </m:r>
          </m:e>
          <m:sub>
            <m:r>
              <m:t>A</m:t>
            </m:r>
          </m:sub>
        </m:sSub>
        <m:r>
          <m:rPr>
            <m:sty m:val="p"/>
          </m:rPr>
          <m:t>,</m:t>
        </m:r>
        <m:sSub>
          <m:e>
            <m:r>
              <m:t>p</m:t>
            </m:r>
          </m:e>
          <m:sub>
            <m:r>
              <m:t>B</m:t>
            </m:r>
          </m:sub>
        </m:sSub>
        <m:r>
          <m:rPr>
            <m:sty m:val="p"/>
          </m:rPr>
          <m:t>;</m:t>
        </m:r>
        <m:r>
          <m:t>n</m:t>
        </m:r>
        <m:r>
          <m:rPr>
            <m:sty m:val="p"/>
          </m:rPr>
          <m:t>)</m:t>
        </m:r>
      </m:oMath>
      <w:r>
        <w:t xml:space="preserve"> </w:t>
      </w:r>
      <w:r>
        <w:t xml:space="preserve">and design surface</w:t>
      </w:r>
      <w:r>
        <w:t xml:space="preserve"> </w:t>
      </w:r>
      <m:oMath>
        <m:sSup>
          <m:e>
            <m:r>
              <m:t>n</m:t>
            </m:r>
          </m:e>
          <m:sup>
            <m:r>
              <m:rPr>
                <m:sty m:val="p"/>
              </m:rPr>
              <m:t>*</m:t>
            </m:r>
          </m:sup>
        </m:sSup>
        <m:r>
          <m:rPr>
            <m:sty m:val="p"/>
          </m:rPr>
          <m:t>(</m:t>
        </m:r>
        <m:sSub>
          <m:e>
            <m:r>
              <m:t>p</m:t>
            </m:r>
          </m:e>
          <m:sub>
            <m:r>
              <m:t>A</m:t>
            </m:r>
          </m:sub>
        </m:sSub>
        <m:r>
          <m:rPr>
            <m:sty m:val="p"/>
          </m:rPr>
          <m:t>,</m:t>
        </m:r>
        <m:sSub>
          <m:e>
            <m:r>
              <m:t>p</m:t>
            </m:r>
          </m:e>
          <m:sub>
            <m:r>
              <m:t>B</m:t>
            </m:r>
          </m:sub>
        </m:sSub>
        <m:r>
          <m:rPr>
            <m:sty m:val="p"/>
          </m:rPr>
          <m:t>)</m:t>
        </m:r>
      </m:oMath>
      <w:r>
        <w:t xml:space="preserve"> </w:t>
      </w:r>
      <w:r>
        <w:t xml:space="preserve">(Eq. 2); banner links analytical LoD</w:t>
      </w:r>
      <m:oMath>
        <m:sSub>
          <m:e>
            <m:r>
              <m:t>​</m:t>
            </m:r>
          </m:e>
          <m:sub>
            <m:r>
              <m:t>95</m:t>
            </m:r>
          </m:sub>
        </m:sSub>
      </m:oMath>
      <w:r>
        <w:t xml:space="preserve"> </w:t>
      </w:r>
      <w:r>
        <w:t xml:space="preserve">(</w:t>
      </w:r>
      <m:oMath>
        <m:r>
          <m:rPr>
            <m:sty m:val="p"/>
          </m:rPr>
          <m:t>Pr</m:t>
        </m:r>
        <m:r>
          <m:rPr>
            <m:sty m:val="p"/>
          </m:rPr>
          <m:t>(</m:t>
        </m:r>
        <m:r>
          <m:rPr>
            <m:sty m:val="p"/>
          </m:rPr>
          <m:t>m</m:t>
        </m:r>
        <m:r>
          <m:rPr>
            <m:sty m:val="p"/>
          </m:rPr>
          <m:t>i</m:t>
        </m:r>
        <m:r>
          <m:rPr>
            <m:sty m:val="p"/>
          </m:rPr>
          <m:t>s</m:t>
        </m:r>
        <m:r>
          <m:rPr>
            <m:sty m:val="p"/>
          </m:rPr>
          <m:t>s</m:t>
        </m:r>
        <m:r>
          <m:rPr>
            <m:sty m:val="p"/>
          </m:rPr>
          <m:t>∣</m:t>
        </m:r>
        <m:sSup>
          <m:e>
            <m:r>
              <m:t>c</m:t>
            </m:r>
          </m:e>
          <m:sup>
            <m:r>
              <m:rPr>
                <m:sty m:val="p"/>
              </m:rPr>
              <m:t>*</m:t>
            </m:r>
          </m:sup>
        </m:sSup>
        <m:r>
          <m:rPr>
            <m:sty m:val="p"/>
          </m:rPr>
          <m:t>)</m:t>
        </m:r>
        <m:r>
          <m:rPr>
            <m:sty m:val="p"/>
          </m:rPr>
          <m:t>=</m:t>
        </m:r>
        <m:r>
          <m:t>1</m:t>
        </m:r>
        <m:r>
          <m:rPr>
            <m:sty m:val="p"/>
          </m:rPr>
          <m:t>−</m:t>
        </m:r>
        <m:sSub>
          <m:e>
            <m:r>
              <m:t>p</m:t>
            </m:r>
          </m:e>
          <m:sub>
            <m:r>
              <m:t>0</m:t>
            </m:r>
          </m:sub>
        </m:sSub>
        <m:r>
          <m:rPr>
            <m:sty m:val="p"/>
          </m:rPr>
          <m:t>=</m:t>
        </m:r>
        <m:r>
          <m:t>0.05</m:t>
        </m:r>
      </m:oMath>
      <w:r>
        <w:t xml:space="preserve">) to finite-</w:t>
      </w:r>
      <m:oMath>
        <m:r>
          <m:t>n</m:t>
        </m:r>
      </m:oMath>
      <w:r>
        <w:t xml:space="preserve"> </w:t>
      </w:r>
      <w:r>
        <w:t xml:space="preserve">inferential OC (</w:t>
      </w:r>
      <m:oMath>
        <m:r>
          <m:t>α</m:t>
        </m:r>
      </m:oMath>
      <w:r>
        <w:t xml:space="preserve">,</w:t>
      </w:r>
      <w:r>
        <w:t xml:space="preserve"> </w:t>
      </w:r>
      <m:oMath>
        <m:r>
          <m:t>β</m:t>
        </m:r>
      </m:oMath>
      <w:r>
        <w:t xml:space="preserve">). Concentration map</w:t>
      </w:r>
      <w:r>
        <w:t xml:space="preserve"> </w:t>
      </w:r>
      <m:oMath>
        <m:r>
          <m:t>c</m:t>
        </m:r>
        <m:r>
          <m:rPr>
            <m:sty m:val="p"/>
          </m:rPr>
          <m:t>/</m:t>
        </m:r>
        <m:sSub>
          <m:e>
            <m:r>
              <m:rPr>
                <m:sty m:val="p"/>
              </m:rPr>
              <m:t>L</m:t>
            </m:r>
            <m:r>
              <m:rPr>
                <m:sty m:val="p"/>
              </m:rPr>
              <m:t>o</m:t>
            </m:r>
            <m:r>
              <m:rPr>
                <m:sty m:val="p"/>
              </m:rPr>
              <m:t>D</m:t>
            </m:r>
          </m:e>
          <m:sub>
            <m:r>
              <m:t>95</m:t>
            </m:r>
          </m:sub>
        </m:sSub>
      </m:oMath>
      <w:r>
        <w:t xml:space="preserve"> </w:t>
      </w:r>
      <w:r>
        <w:t xml:space="preserve">versus</w:t>
      </w:r>
      <w:r>
        <w:t xml:space="preserve"> </w:t>
      </w:r>
      <m:oMath>
        <m:r>
          <m:t>p</m:t>
        </m:r>
      </m:oMath>
      <w:r>
        <w:t xml:space="preserve"> </w:t>
      </w:r>
      <w:r>
        <w:t xml:space="preserve">for every integer</w:t>
      </w:r>
      <w:r>
        <w:t xml:space="preserve"> </w:t>
      </w:r>
      <m:oMath>
        <m:r>
          <m:t>p</m:t>
        </m:r>
        <m:r>
          <m:rPr>
            <m:sty m:val="p"/>
          </m:rPr>
          <m:t>∈</m:t>
        </m:r>
        <m:r>
          <m:rPr>
            <m:sty m:val="p"/>
          </m:rPr>
          <m:t>{</m:t>
        </m:r>
        <m:r>
          <m:t>50</m:t>
        </m:r>
        <m:r>
          <m:rPr>
            <m:sty m:val="p"/>
          </m:rPr>
          <m:t>,</m:t>
        </m:r>
        <m:r>
          <m:rPr>
            <m:sty m:val="p"/>
          </m:rPr>
          <m:t>…</m:t>
        </m:r>
        <m:r>
          <m:rPr>
            <m:sty m:val="p"/>
          </m:rPr>
          <m:t>,</m:t>
        </m:r>
        <m:r>
          <m:t>99</m:t>
        </m:r>
        <m:r>
          <m:rPr>
            <m:sty m:val="p"/>
          </m:rPr>
          <m:t>}</m:t>
        </m:r>
        <m:r>
          <m:rPr>
            <m:sty m:val="p"/>
          </m:rPr>
          <m:t>%</m:t>
        </m:r>
      </m:oMath>
      <w:r>
        <w:t xml:space="preserve"> </w:t>
      </w:r>
      <w:r>
        <w:t xml:space="preserve">(logistic dose–response; Supplement §S2c).</w:t>
      </w:r>
    </w:p>
    <w:p>
      <w:pPr>
        <w:pStyle w:val="BodyText"/>
      </w:pPr>
      <w:r>
        <w:t xml:space="preserve">B. Exact Fisher miss probability</w:t>
      </w:r>
      <w:r>
        <w:t xml:space="preserve"> </w:t>
      </w:r>
      <m:oMath>
        <m:r>
          <m:t>β</m:t>
        </m:r>
        <m:r>
          <m:rPr>
            <m:sty m:val="p"/>
          </m:rPr>
          <m:t>=</m:t>
        </m:r>
        <m:r>
          <m:t>1</m:t>
        </m:r>
        <m:r>
          <m:rPr>
            <m:sty m:val="p"/>
          </m:rPr>
          <m:t>−</m:t>
        </m:r>
        <m:sSub>
          <m:e>
            <m:r>
              <m:t>π</m:t>
            </m:r>
          </m:e>
          <m:sub>
            <m:r>
              <m:rPr>
                <m:sty m:val="p"/>
              </m:rPr>
              <m:t>F</m:t>
            </m:r>
            <m:r>
              <m:rPr>
                <m:sty m:val="p"/>
              </m:rPr>
              <m:t>i</m:t>
            </m:r>
            <m:r>
              <m:rPr>
                <m:sty m:val="p"/>
              </m:rPr>
              <m:t>s</m:t>
            </m:r>
            <m:r>
              <m:rPr>
                <m:sty m:val="p"/>
              </m:rPr>
              <m:t>h</m:t>
            </m:r>
            <m:r>
              <m:rPr>
                <m:sty m:val="p"/>
              </m:rPr>
              <m:t>e</m:t>
            </m:r>
            <m:r>
              <m:rPr>
                <m:sty m:val="p"/>
              </m:rPr>
              <m:t>r</m:t>
            </m:r>
          </m:sub>
        </m:sSub>
      </m:oMath>
      <w:r>
        <w:t xml:space="preserve"> </w:t>
      </w:r>
      <w:r>
        <w:t xml:space="preserve">at</w:t>
      </w:r>
      <w:r>
        <w:t xml:space="preserve"> </w:t>
      </w:r>
      <m:oMath>
        <m:r>
          <m:t>n</m:t>
        </m:r>
        <m:r>
          <m:rPr>
            <m:sty m:val="p"/>
          </m:rPr>
          <m:t>=</m:t>
        </m:r>
        <m:r>
          <m:t>20</m:t>
        </m:r>
      </m:oMath>
      <w:r>
        <w:t xml:space="preserve"> </w:t>
      </w:r>
      <w:r>
        <w:t xml:space="preserve">per arm over all valid integer pairs (1225 cells;</w:t>
      </w:r>
      <w:r>
        <w:t xml:space="preserve"> </w:t>
      </w:r>
      <m:oMath>
        <m:r>
          <m:t>α</m:t>
        </m:r>
        <m:r>
          <m:rPr>
            <m:sty m:val="p"/>
          </m:rPr>
          <m:t>=</m:t>
        </m:r>
        <m:r>
          <m:t>0.05</m:t>
        </m:r>
      </m:oMath>
      <w:r>
        <w:t xml:space="preserve">). 61% of cells have</w:t>
      </w:r>
      <w:r>
        <w:t xml:space="preserve"> </w:t>
      </w:r>
      <m:oMath>
        <m:r>
          <m:t>β</m:t>
        </m:r>
        <m:r>
          <m:rPr>
            <m:sty m:val="p"/>
          </m:rPr>
          <m:t>&gt;</m:t>
        </m:r>
        <m:r>
          <m:t>0.8</m:t>
        </m:r>
      </m:oMath>
      <w:r>
        <w:t xml:space="preserve"> (a property of the equally spaced design lattice, not a laboratory prevalence). Eight reference pairs marked (Table 2). Dashed contours:</w:t>
      </w:r>
      <w:r>
        <w:t xml:space="preserve"> </w:t>
      </w:r>
      <m:oMath>
        <m:r>
          <m:t>β</m:t>
        </m:r>
        <m:r>
          <m:rPr>
            <m:sty m:val="p"/>
          </m:rPr>
          <m:t>=</m:t>
        </m:r>
        <m:r>
          <m:t>0.8</m:t>
        </m:r>
      </m:oMath>
      <w:r>
        <w:t xml:space="preserve"> </w:t>
      </w:r>
      <w:r>
        <w:t xml:space="preserve">under</w:t>
      </w:r>
      <w:r>
        <w:t xml:space="preserve"> </w:t>
      </w:r>
      <m:oMath>
        <m:r>
          <m:t>α</m:t>
        </m:r>
        <m:r>
          <m:rPr>
            <m:sty m:val="p"/>
          </m:rPr>
          <m:t>=</m:t>
        </m:r>
        <m:r>
          <m:t>0.01</m:t>
        </m:r>
      </m:oMath>
      <w:r>
        <w:t xml:space="preserve"> </w:t>
      </w:r>
      <w:r>
        <w:t xml:space="preserve">and</w:t>
      </w:r>
      <w:r>
        <w:t xml:space="preserve"> </w:t>
      </w:r>
      <m:oMath>
        <m:r>
          <m:t>0.10</m:t>
        </m:r>
      </m:oMath>
      <w:r>
        <w:t xml:space="preserve"> </w:t>
      </w:r>
      <w:r>
        <w:t xml:space="preserve">(asymptotic pooled-</w:t>
      </w:r>
      <m:oMath>
        <m:r>
          <m:t>z</m:t>
        </m:r>
      </m:oMath>
      <w:r>
        <w:t xml:space="preserve">).</w:t>
      </w:r>
    </w:p>
    <w:p>
      <w:pPr>
        <w:pStyle w:val="BodyText"/>
      </w:pPr>
      <w:r>
        <w:t xml:space="preserve">C. Design surface</w:t>
      </w:r>
      <w:r>
        <w:t xml:space="preserve"> </w:t>
      </w:r>
      <m:oMath>
        <m:sSup>
          <m:e>
            <m:r>
              <m:t>n</m:t>
            </m:r>
          </m:e>
          <m:sup>
            <m:r>
              <m:rPr>
                <m:sty m:val="p"/>
              </m:rPr>
              <m:t>*</m:t>
            </m:r>
          </m:sup>
        </m:sSup>
        <m:r>
          <m:rPr>
            <m:sty m:val="p"/>
          </m:rPr>
          <m:t>(</m:t>
        </m:r>
        <m:sSub>
          <m:e>
            <m:r>
              <m:t>p</m:t>
            </m:r>
          </m:e>
          <m:sub>
            <m:r>
              <m:t>A</m:t>
            </m:r>
          </m:sub>
        </m:sSub>
        <m:r>
          <m:rPr>
            <m:sty m:val="p"/>
          </m:rPr>
          <m:t>,</m:t>
        </m:r>
        <m:sSub>
          <m:e>
            <m:r>
              <m:t>p</m:t>
            </m:r>
          </m:e>
          <m:sub>
            <m:r>
              <m:t>B</m:t>
            </m:r>
          </m:sub>
        </m:sSub>
        <m:r>
          <m:rPr>
            <m:sty m:val="p"/>
          </m:rPr>
          <m:t>)</m:t>
        </m:r>
      </m:oMath>
      <w:r>
        <w:t xml:space="preserve"> </w:t>
      </w:r>
      <w:r>
        <w:t xml:space="preserve">for power</w:t>
      </w:r>
      <w:r>
        <w:t xml:space="preserve"> </w:t>
      </w:r>
      <m:oMath>
        <m:r>
          <m:t>1</m:t>
        </m:r>
        <m:r>
          <m:rPr>
            <m:sty m:val="p"/>
          </m:rPr>
          <m:t>−</m:t>
        </m:r>
        <m:r>
          <m:t>β</m:t>
        </m:r>
        <m:r>
          <m:rPr>
            <m:sty m:val="p"/>
          </m:rPr>
          <m:t>=</m:t>
        </m:r>
        <m:r>
          <m:t>0.80</m:t>
        </m:r>
      </m:oMath>
      <w:r>
        <w:t xml:space="preserve"> </w:t>
      </w:r>
      <w:r>
        <w:t xml:space="preserve">(Eq. 2; log color scale). Marginal by contrast, median</w:t>
      </w:r>
      <w:r>
        <w:t xml:space="preserve"> </w:t>
      </w:r>
      <m:oMath>
        <m:sSup>
          <m:e>
            <m:r>
              <m:t>n</m:t>
            </m:r>
          </m:e>
          <m:sup>
            <m:r>
              <m:rPr>
                <m:sty m:val="p"/>
              </m:rPr>
              <m:t>*</m:t>
            </m:r>
          </m:sup>
        </m:sSup>
      </m:oMath>
      <w:r>
        <w:t xml:space="preserve"> </w:t>
      </w:r>
      <w:r>
        <w:t xml:space="preserve">versus contrast</w:t>
      </w:r>
      <w:r>
        <w:t xml:space="preserve"> </w:t>
      </w:r>
      <m:oMath>
        <m:r>
          <m:rPr>
            <m:sty m:val="p"/>
          </m:rPr>
          <m:t>Δ</m:t>
        </m:r>
        <m:r>
          <m:rPr>
            <m:sty m:val="p"/>
          </m:rPr>
          <m:t>=</m:t>
        </m:r>
        <m:sSub>
          <m:e>
            <m:r>
              <m:t>p</m:t>
            </m:r>
          </m:e>
          <m:sub>
            <m:r>
              <m:t>A</m:t>
            </m:r>
          </m:sub>
        </m:sSub>
        <m:r>
          <m:rPr>
            <m:sty m:val="p"/>
          </m:rPr>
          <m:t>−</m:t>
        </m:r>
        <m:sSub>
          <m:e>
            <m:r>
              <m:t>p</m:t>
            </m:r>
          </m:e>
          <m:sub>
            <m:r>
              <m:t>B</m:t>
            </m:r>
          </m:sub>
        </m:sSub>
      </m:oMath>
      <w:r>
        <w:t xml:space="preserve"> </w:t>
      </w:r>
      <w:r>
        <w:t xml:space="preserve">(Supplementary Table 3f). Dashed contours: median</w:t>
      </w:r>
      <w:r>
        <w:t xml:space="preserve"> </w:t>
      </w:r>
      <m:oMath>
        <m:sSup>
          <m:e>
            <m:r>
              <m:t>n</m:t>
            </m:r>
          </m:e>
          <m:sup>
            <m:r>
              <m:rPr>
                <m:sty m:val="p"/>
              </m:rPr>
              <m:t>*</m:t>
            </m:r>
          </m:sup>
        </m:sSup>
      </m:oMath>
      <w:r>
        <w:t xml:space="preserve"> </w:t>
      </w:r>
      <w:r>
        <w:t xml:space="preserve">at power</w:t>
      </w:r>
      <w:r>
        <w:t xml:space="preserve"> </w:t>
      </w:r>
      <m:oMath>
        <m:r>
          <m:t>0.70</m:t>
        </m:r>
      </m:oMath>
      <w:r>
        <w:t xml:space="preserve"> </w:t>
      </w:r>
      <w:r>
        <w:t xml:space="preserve">and</w:t>
      </w:r>
      <w:r>
        <w:t xml:space="preserve"> </w:t>
      </w:r>
      <m:oMath>
        <m:r>
          <m:t>0.90</m:t>
        </m:r>
      </m:oMath>
      <w:r>
        <w:t xml:space="preserve">.</w:t>
      </w:r>
    </w:p>
    <w:p>
      <w:pPr>
        <w:pStyle w:val="BodyText"/>
      </w:pPr>
      <w:r>
        <w:t xml:space="preserve">D. Map from hit rate</w:t>
      </w:r>
      <w:r>
        <w:t xml:space="preserve"> </w:t>
      </w:r>
      <m:oMath>
        <m:r>
          <m:t>p</m:t>
        </m:r>
      </m:oMath>
      <w:r>
        <w:t xml:space="preserve"> </w:t>
      </w:r>
      <w:r>
        <w:t xml:space="preserve">to</w:t>
      </w:r>
      <w:r>
        <w:t xml:space="preserve"> </w:t>
      </w:r>
      <m:oMath>
        <m:r>
          <m:t>c</m:t>
        </m:r>
        <m:r>
          <m:rPr>
            <m:sty m:val="p"/>
          </m:rPr>
          <m:t>/</m:t>
        </m:r>
        <m:sSub>
          <m:e>
            <m:r>
              <m:rPr>
                <m:sty m:val="p"/>
              </m:rPr>
              <m:t>L</m:t>
            </m:r>
            <m:r>
              <m:rPr>
                <m:sty m:val="p"/>
              </m:rPr>
              <m:t>o</m:t>
            </m:r>
            <m:r>
              <m:rPr>
                <m:sty m:val="p"/>
              </m:rPr>
              <m:t>D</m:t>
            </m:r>
          </m:e>
          <m:sub>
            <m:r>
              <m:t>95</m:t>
            </m:r>
          </m:sub>
        </m:sSub>
      </m:oMath>
      <w:r>
        <w:t xml:space="preserve"> </w:t>
      </w:r>
      <w:r>
        <w:t xml:space="preserve">under logistic dose–response (Supplement §S2c;</w:t>
      </w:r>
      <w:r>
        <w:t xml:space="preserve"> </w:t>
      </w:r>
      <m:oMath>
        <m:r>
          <m:t>γ</m:t>
        </m:r>
        <m:r>
          <m:rPr>
            <m:sty m:val="p"/>
          </m:rPr>
          <m:t>=</m:t>
        </m:r>
        <m:r>
          <m:t>2.0</m:t>
        </m:r>
      </m:oMath>
      <w:r>
        <w:t xml:space="preserve"> </w:t>
      </w:r>
      <w:r>
        <w:t xml:space="preserve">default; band</w:t>
      </w:r>
      <w:r>
        <w:t xml:space="preserve"> </w:t>
      </w:r>
      <m:oMath>
        <m:r>
          <m:t>γ</m:t>
        </m:r>
        <m:r>
          <m:rPr>
            <m:sty m:val="p"/>
          </m:rPr>
          <m:t>∈</m:t>
        </m:r>
        <m:r>
          <m:rPr>
            <m:sty m:val="p"/>
          </m:rPr>
          <m:t>[</m:t>
        </m:r>
        <m:r>
          <m:t>1.5</m:t>
        </m:r>
        <m:r>
          <m:rPr>
            <m:sty m:val="p"/>
          </m:rPr>
          <m:t>,</m:t>
        </m:r>
        <m:r>
          <m:t>2.5</m:t>
        </m:r>
        <m:r>
          <m:rPr>
            <m:sty m:val="p"/>
          </m:rPr>
          <m:t>]</m:t>
        </m:r>
      </m:oMath>
      <w:r>
        <w:t xml:space="preserve">). All integer</w:t>
      </w:r>
      <w:r>
        <w:t xml:space="preserve"> </w:t>
      </w:r>
      <m:oMath>
        <m:r>
          <m:t>p</m:t>
        </m:r>
        <m:r>
          <m:rPr>
            <m:sty m:val="p"/>
          </m:rPr>
          <m:t>∈</m:t>
        </m:r>
        <m:r>
          <m:rPr>
            <m:sty m:val="p"/>
          </m:rPr>
          <m:t>{</m:t>
        </m:r>
        <m:r>
          <m:t>50</m:t>
        </m:r>
        <m:r>
          <m:rPr>
            <m:sty m:val="p"/>
          </m:rPr>
          <m:t>,</m:t>
        </m:r>
        <m:r>
          <m:rPr>
            <m:sty m:val="p"/>
          </m:rPr>
          <m:t>…</m:t>
        </m:r>
        <m:r>
          <m:rPr>
            <m:sty m:val="p"/>
          </m:rPr>
          <m:t>,</m:t>
        </m:r>
        <m:r>
          <m:t>99</m:t>
        </m:r>
        <m:r>
          <m:rPr>
            <m:sty m:val="p"/>
          </m:rPr>
          <m:t>}</m:t>
        </m:r>
        <m:r>
          <m:rPr>
            <m:sty m:val="p"/>
          </m:rPr>
          <m:t>%</m:t>
        </m:r>
      </m:oMath>
      <w:r>
        <w:t xml:space="preserve"> </w:t>
      </w:r>
      <w:r>
        <w:t xml:space="preserve">shown;</w:t>
      </w:r>
      <w:r>
        <w:t xml:space="preserve"> </w:t>
      </w:r>
      <m:oMath>
        <m:r>
          <m:t>p</m:t>
        </m:r>
        <m:r>
          <m:rPr>
            <m:sty m:val="p"/>
          </m:rPr>
          <m:t>=</m:t>
        </m:r>
        <m:r>
          <m:t>0.80</m:t>
        </m:r>
      </m:oMath>
      <w:r>
        <w:t xml:space="preserve"> </w:t>
      </w:r>
      <w:r>
        <w:t xml:space="preserve">and</w:t>
      </w:r>
      <w:r>
        <w:t xml:space="preserve"> </w:t>
      </w:r>
      <m:oMath>
        <m:r>
          <m:t>p</m:t>
        </m:r>
        <m:r>
          <m:rPr>
            <m:sty m:val="p"/>
          </m:rPr>
          <m:t>=</m:t>
        </m:r>
        <m:r>
          <m:t>0.95</m:t>
        </m:r>
      </m:oMath>
      <w:r>
        <w:t xml:space="preserve"> </w:t>
      </w:r>
      <w:r>
        <w:t xml:space="preserve">annotated as examples.</w:t>
      </w:r>
    </w:p>
    <w:p>
      <w:pPr>
        <w:pStyle w:val="BodyText"/>
      </w:pPr>
      <w:r>
        <w:t xml:space="preserve">Full lattice: online Supplementary Table03_comparison_grid_n20.csv; marginal by</w:t>
      </w:r>
      <w:r>
        <w:t xml:space="preserve"> </w:t>
      </w:r>
      <m:oMath>
        <m:r>
          <m:rPr>
            <m:sty m:val="p"/>
          </m:rPr>
          <m:t>Δ</m:t>
        </m:r>
      </m:oMath>
      <w:r>
        <w:t xml:space="preserve">: Table 3f.</w:t>
      </w:r>
    </w:p>
    <w:p>
      <w:pPr>
        <w:pStyle w:val="BodyText"/>
      </w:pPr>
      <w:r>
        <w:t xml:space="preserve">Alt text (Fig. 1). Four-panel figure. Panel A: lock the claim, score n=20 on the design lattice, then plan n-star as a function of delta p. Panel B: heatmap of miss probability beta at n equals 20 for all valid p_A greater than p_B pairs; 61 percent above 0.8. Panel C: log-scale design surface n star; 90/80 pair marked. Panel D: logistic map from every integer hit rate to concentration ratio relative to LoD95.</w:t>
      </w:r>
    </w:p>
    <w:bookmarkEnd w:id="28"/>
    <w:bookmarkStart w:id="29" w:name="Xdcb83998cab6c433f4d975427732f6a733a2fa2"/>
    <w:p>
      <w:pPr>
        <w:pStyle w:val="Heading2"/>
      </w:pPr>
      <w:r>
        <w:t xml:space="preserve">Fig. 2. Tier A public-deposit calibration (panels A–C)</w:t>
      </w:r>
    </w:p>
    <w:p>
      <w:pPr>
        <w:pStyle w:val="FirstParagraph"/>
      </w:pPr>
      <w:r>
        <w:t xml:space="preserve">Calibration of planning outputs on archived tier A public deposits (Table 3). Illustrates gate and guidance-</w:t>
      </w:r>
      <m:oMath>
        <m:r>
          <m:t>n</m:t>
        </m:r>
      </m:oMath>
      <w:r>
        <w:t xml:space="preserve"> </w:t>
      </w:r>
      <w:r>
        <w:t xml:space="preserve">behavior; not multi-assay clinical validation of commercial assays or IFUs.</w:t>
      </w:r>
    </w:p>
    <w:p>
      <w:pPr>
        <w:pStyle w:val="BodyText"/>
      </w:pPr>
      <w:r>
        <w:t xml:space="preserve">A. Mus wild-type qPCR hit-rate series near LoD (Zenodo 12609243; Piaggio et al.): standard-quantity (SQ) versus detection rate with binomial error bars; horizontal dashed line at</w:t>
      </w:r>
      <w:r>
        <w:t xml:space="preserve"> </w:t>
      </w:r>
      <m:oMath>
        <m:r>
          <m:t>p</m:t>
        </m:r>
        <m:r>
          <m:rPr>
            <m:sty m:val="p"/>
          </m:rPr>
          <m:t>=</m:t>
        </m:r>
        <m:r>
          <m:t>0.95</m:t>
        </m:r>
      </m:oMath>
      <w:r>
        <w:t xml:space="preserve">. Steep slope near LoD motivates locking both</w:t>
      </w:r>
      <w:r>
        <w:t xml:space="preserve"> </w:t>
      </w:r>
      <m:oMath>
        <m:sSup>
          <m:e>
            <m:r>
              <m:t>c</m:t>
            </m:r>
          </m:e>
          <m:sup>
            <m:r>
              <m:rPr>
                <m:sty m:val="p"/>
              </m:rPr>
              <m:t>*</m:t>
            </m:r>
          </m:sup>
        </m:sSup>
      </m:oMath>
      <w:r>
        <w:t xml:space="preserve"> </w:t>
      </w:r>
      <w:r>
        <w:t xml:space="preserve">and the detection claim before planning</w:t>
      </w:r>
      <w:r>
        <w:t xml:space="preserve"> </w:t>
      </w:r>
      <m:oMath>
        <m:r>
          <m:t>n</m:t>
        </m:r>
      </m:oMath>
      <w:r>
        <w:t xml:space="preserve">.</w:t>
      </w:r>
    </w:p>
    <w:p>
      <w:pPr>
        <w:pStyle w:val="BodyText"/>
      </w:pPr>
      <w:r>
        <w:t xml:space="preserve">B. Ratios of guidance</w:t>
      </w:r>
      <w:r>
        <w:t xml:space="preserve"> </w:t>
      </w:r>
      <m:oMath>
        <m:r>
          <m:t>n</m:t>
        </m:r>
      </m:oMath>
      <w:r>
        <w:t xml:space="preserve"> </w:t>
      </w:r>
      <w:r>
        <w:t xml:space="preserve">to conventional</w:t>
      </w:r>
      <w:r>
        <w:t xml:space="preserve"> </w:t>
      </w:r>
      <m:oMath>
        <m:r>
          <m:t>n</m:t>
        </m:r>
        <m:r>
          <m:rPr>
            <m:sty m:val="p"/>
          </m:rPr>
          <m:t>=</m:t>
        </m:r>
        <m:r>
          <m:t>20</m:t>
        </m:r>
      </m:oMath>
      <w:r>
        <w:t xml:space="preserve"> </w:t>
      </w:r>
      <w:r>
        <w:t xml:space="preserve">for tier A deposits (deposit labels match Table 3 abbreviations). Bars plot only when a guidance</w:t>
      </w:r>
      <w:r>
        <w:t xml:space="preserve"> </w:t>
      </w:r>
      <m:oMath>
        <m:r>
          <m:t>n</m:t>
        </m:r>
      </m:oMath>
      <w:r>
        <w:t xml:space="preserve"> </w:t>
      </w:r>
      <w:r>
        <w:t xml:space="preserve">and ratio are defined; deposits without a comparable ratio are labeled “ratio N/A” (see Table 3). Where defined, values commonly fall between about 2.6× and 10× (examples: multiplex respiratory qPCR lot comparison,</w:t>
      </w:r>
      <w:r>
        <w:t xml:space="preserve"> </w:t>
      </w:r>
      <m:oMath>
        <m:r>
          <m:rPr>
            <m:sty m:val="p"/>
          </m:rPr>
          <m:t>≈</m:t>
        </m:r>
        <m:r>
          <m:t>9.95</m:t>
        </m:r>
        <m:r>
          <m:rPr>
            <m:sty m:val="p"/>
          </m:rPr>
          <m:t>×</m:t>
        </m:r>
      </m:oMath>
      <w:r>
        <w:t xml:space="preserve"> </w:t>
      </w:r>
      <w:r>
        <w:t xml:space="preserve">with guidance</w:t>
      </w:r>
      <w:r>
        <w:t xml:space="preserve"> </w:t>
      </w:r>
      <m:oMath>
        <m:r>
          <m:t>n</m:t>
        </m:r>
        <m:r>
          <m:rPr>
            <m:sty m:val="p"/>
          </m:rPr>
          <m:t>=</m:t>
        </m:r>
        <m:r>
          <m:t>199</m:t>
        </m:r>
      </m:oMath>
      <w:r>
        <w:t xml:space="preserve">; EP17 estradiol benchmark confirmation versus qualitative pass rule,</w:t>
      </w:r>
      <w:r>
        <w:t xml:space="preserve"> </w:t>
      </w:r>
      <m:oMath>
        <m:r>
          <m:rPr>
            <m:sty m:val="p"/>
          </m:rPr>
          <m:t>≈</m:t>
        </m:r>
        <m:r>
          <m:t>2.65</m:t>
        </m:r>
        <m:r>
          <m:rPr>
            <m:sty m:val="p"/>
          </m:rPr>
          <m:t>×</m:t>
        </m:r>
      </m:oMath>
      <w:r>
        <w:t xml:space="preserve"> </w:t>
      </w:r>
      <w:r>
        <w:t xml:space="preserve">with guidance</w:t>
      </w:r>
      <w:r>
        <w:t xml:space="preserve"> </w:t>
      </w:r>
      <m:oMath>
        <m:r>
          <m:t>n</m:t>
        </m:r>
        <m:r>
          <m:rPr>
            <m:sty m:val="p"/>
          </m:rPr>
          <m:t>=</m:t>
        </m:r>
        <m:r>
          <m:t>53</m:t>
        </m:r>
      </m:oMath>
      <w:r>
        <w:t xml:space="preserve">).</w:t>
      </w:r>
    </w:p>
    <w:p>
      <w:pPr>
        <w:pStyle w:val="BodyText"/>
      </w:pPr>
      <w:r>
        <w:t xml:space="preserve">C. Equal-weight decision risk ledger comparing conventional</w:t>
      </w:r>
      <w:r>
        <w:t xml:space="preserve"> </w:t>
      </w:r>
      <m:oMath>
        <m:r>
          <m:t>n</m:t>
        </m:r>
        <m:r>
          <m:rPr>
            <m:sty m:val="p"/>
          </m:rPr>
          <m:t>=</m:t>
        </m:r>
        <m:r>
          <m:t>20</m:t>
        </m:r>
      </m:oMath>
      <w:r>
        <w:t xml:space="preserve"> </w:t>
      </w:r>
      <w:r>
        <w:t xml:space="preserve">designs with powered plans for reference protocol-specific pairs (median</w:t>
      </w:r>
      <w:r>
        <w:t xml:space="preserve"> </w:t>
      </w:r>
      <m:oMath>
        <m:sSub>
          <m:e>
            <m:r>
              <m:t>L</m:t>
            </m:r>
          </m:e>
          <m:sub>
            <m:r>
              <m:rPr>
                <m:sty m:val="p"/>
              </m:rPr>
              <m:t>c</m:t>
            </m:r>
            <m:r>
              <m:rPr>
                <m:sty m:val="p"/>
              </m:rPr>
              <m:t>o</m:t>
            </m:r>
            <m:r>
              <m:rPr>
                <m:sty m:val="p"/>
              </m:rPr>
              <m:t>n</m:t>
            </m:r>
            <m:r>
              <m:rPr>
                <m:sty m:val="p"/>
              </m:rPr>
              <m:t>v</m:t>
            </m:r>
            <m:r>
              <m:rPr>
                <m:sty m:val="p"/>
              </m:rPr>
              <m:t>e</m:t>
            </m:r>
            <m:r>
              <m:rPr>
                <m:sty m:val="p"/>
              </m:rPr>
              <m:t>n</m:t>
            </m:r>
            <m:r>
              <m:rPr>
                <m:sty m:val="p"/>
              </m:rPr>
              <m:t>t</m:t>
            </m:r>
            <m:r>
              <m:rPr>
                <m:sty m:val="p"/>
              </m:rPr>
              <m:t>i</m:t>
            </m:r>
            <m:r>
              <m:rPr>
                <m:sty m:val="p"/>
              </m:rPr>
              <m:t>o</m:t>
            </m:r>
            <m:r>
              <m:rPr>
                <m:sty m:val="p"/>
              </m:rPr>
              <m:t>n</m:t>
            </m:r>
            <m:r>
              <m:rPr>
                <m:sty m:val="p"/>
              </m:rPr>
              <m:t>a</m:t>
            </m:r>
            <m:r>
              <m:rPr>
                <m:sty m:val="p"/>
              </m:rPr>
              <m:t>l</m:t>
            </m:r>
          </m:sub>
        </m:sSub>
        <m:r>
          <m:rPr>
            <m:sty m:val="p"/>
          </m:rPr>
          <m:t>/</m:t>
        </m:r>
        <m:sSub>
          <m:e>
            <m:r>
              <m:t>L</m:t>
            </m:r>
          </m:e>
          <m:sub>
            <m:r>
              <m:rPr>
                <m:sty m:val="p"/>
              </m:rPr>
              <m:t>p</m:t>
            </m:r>
            <m:r>
              <m:rPr>
                <m:sty m:val="p"/>
              </m:rPr>
              <m:t>o</m:t>
            </m:r>
            <m:r>
              <m:rPr>
                <m:sty m:val="p"/>
              </m:rPr>
              <m:t>w</m:t>
            </m:r>
            <m:r>
              <m:rPr>
                <m:sty m:val="p"/>
              </m:rPr>
              <m:t>e</m:t>
            </m:r>
            <m:r>
              <m:rPr>
                <m:sty m:val="p"/>
              </m:rPr>
              <m:t>r</m:t>
            </m:r>
            <m:r>
              <m:rPr>
                <m:sty m:val="p"/>
              </m:rPr>
              <m:t>e</m:t>
            </m:r>
            <m:r>
              <m:rPr>
                <m:sty m:val="p"/>
              </m:rPr>
              <m:t>d</m:t>
            </m:r>
          </m:sub>
        </m:sSub>
        <m:r>
          <m:rPr>
            <m:sty m:val="p"/>
          </m:rPr>
          <m:t>=</m:t>
        </m:r>
        <m:r>
          <m:t>3.9</m:t>
        </m:r>
      </m:oMath>
      <w:r>
        <w:t xml:space="preserve">; Table 3).</w:t>
      </w:r>
    </w:p>
    <w:p>
      <w:pPr>
        <w:pStyle w:val="BodyText"/>
      </w:pPr>
      <w:r>
        <w:t xml:space="preserve">Alt text (Fig. 2). Three-panel figure. Panel A: Mus WT qPCR hit rate versus standard quantity on log scale, steep rise near LoD, dashed line at 95 percent detection. Panel B: horizontal bar chart of guidance n divided by 20 for tier A deposits where ratio is defined; some rows marked ratio not applicable. Panel C: decision-risk comparison bars for conventional n equals 20 versus powered sample sizes.</w:t>
      </w:r>
    </w:p>
    <w:bookmarkEnd w:id="29"/>
    <w:bookmarkEnd w:id="30"/>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F9C48F3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005883F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02C6936"/>
    <w:multiLevelType w:val="multilevel"/>
    <w:tmpl w:val="22FA1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93183C"/>
    <w:multiLevelType w:val="multilevel"/>
    <w:tmpl w:val="EF702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EDC38FA"/>
    <w:multiLevelType w:val="multilevel"/>
    <w:tmpl w:val="31D04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130474">
    <w:abstractNumId w:val="0"/>
  </w:num>
  <w:num w:numId="2" w16cid:durableId="3299877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09790452">
    <w:abstractNumId w:val="3"/>
  </w:num>
  <w:num w:numId="4" w16cid:durableId="1876891564">
    <w:abstractNumId w:val="2"/>
  </w:num>
  <w:num w:numId="5" w16cid:durableId="1002002959">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A3078"/>
    <w:rsid w:val="002D6FDB"/>
    <w:rsid w:val="003B1F80"/>
    <w:rsid w:val="0063093F"/>
    <w:rsid w:val="00686213"/>
    <w:rsid w:val="007A1461"/>
    <w:rsid w:val="007D5866"/>
    <w:rsid w:val="00A02BF2"/>
    <w:rsid w:val="00B816B1"/>
    <w:rsid w:val="00D57EA1"/>
    <w:rsid w:val="00EA737B"/>
    <w:rsid w:val="00ED2C7D"/>
    <w:rsid w:val="00FA30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58893E5F"/>
  <w15:docId w15:val="{A22F8FCB-5828-004B-A151-0A7E16AAD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B1F80"/>
    <w:pPr>
      <w:spacing w:after="0"/>
    </w:pPr>
    <w:rPr>
      <w:rFonts w:ascii="Times New Roman" w:eastAsia="Times New Roman" w:hAnsi="Times New Roman" w:cs="Times New Roman"/>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3B1F80"/>
    <w:pPr>
      <w:spacing w:before="100" w:beforeAutospacing="1" w:after="100" w:afterAutospacing="1"/>
    </w:pPr>
  </w:style>
  <w:style w:type="character" w:styleId="Strong">
    <w:name w:val="Strong"/>
    <w:basedOn w:val="DefaultParagraphFont"/>
    <w:uiPriority w:val="22"/>
    <w:qFormat/>
    <w:rsid w:val="003B1F80"/>
    <w:rPr>
      <w:b/>
      <w:bCs/>
    </w:rPr>
  </w:style>
  <w:style w:type="character" w:styleId="HTMLCode">
    <w:name w:val="HTML Code"/>
    <w:basedOn w:val="DefaultParagraphFont"/>
    <w:uiPriority w:val="99"/>
    <w:unhideWhenUsed/>
    <w:rsid w:val="002D6FDB"/>
    <w:rPr>
      <w:rFonts w:ascii="Courier New" w:eastAsia="Times New Roman" w:hAnsi="Courier New" w:cs="Courier New"/>
      <w:sz w:val="20"/>
      <w:szCs w:val="20"/>
    </w:rPr>
  </w:style>
  <w:style w:type="character" w:styleId="Emphasis">
    <w:name w:val="Emphasis"/>
    <w:basedOn w:val="DefaultParagraphFont"/>
    <w:uiPriority w:val="20"/>
    <w:qFormat/>
    <w:rsid w:val="007D5866"/>
    <w:rPr>
      <w:i/>
      <w:iCs/>
    </w:rPr>
  </w:style>
  <w:style w:type="paragraph" w:customStyle="1" w:styleId="pdq2pgselectionanchorcontainer">
    <w:name w:val="pdq2pg_selectionanchorcontainer"/>
    <w:basedOn w:val="Normal"/>
    <w:rsid w:val="0063093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18</Pages>
  <Words>7641</Words>
  <Characters>43556</Characters>
  <Application>Microsoft Office Word</Application>
  <DocSecurity>0</DocSecurity>
  <Lines>362</Lines>
  <Paragraphs>102</Paragraphs>
  <ScaleCrop>false</ScaleCrop>
  <Company/>
  <LinksUpToDate>false</LinksUpToDate>
  <CharactersWithSpaces>51095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Prospective Sample-Size Planning for LoD Verification — Author Bundle</dc:title>
  <dc:creator/>
  <cp:keywords/>
  <cp:lastModifiedBy>k6506</cp:lastModifiedBy>
  <cp:revision>11</cp:revision>
  <dcterms:created xsi:type="dcterms:W3CDTF">2026-09-23T16:41:00Z</dcterms:created>
  <dcterms:modified xsi:type="dcterms:W3CDTF">2026-09-29T08:36:00Z</dcterms:modified>
</cp:coreProperties>
</file>