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Journal: Clinical Chemistry, Article (original research)</w:t>
      </w:r>
    </w:p>
    <w:p>
      <w:r>
        <w:t>Title: Claim-specific sample-size planning for binary hit-rate LoD verification</w:t>
      </w:r>
    </w:p>
    <w:p>
      <w:r>
        <w:t>Authors: Dong Zhang, MD · Qiwen Yang, PhD</w:t>
      </w:r>
    </w:p>
    <w:p>
      <w:r>
        <w:t>Corresponding author: Qiwen Yang, PhD · Peking Union Medical College Hospital, Beijing, PR China · yangqiwen81@vip.163.com</w:t>
      </w:r>
    </w:p>
    <w:p>
      <w:r>
        <w:t>Compliance note: See submission checklist for word limits, Brief Summary, alt text, and main vs supplement figure/table split (≤6 in main).</w:t>
      </w:r>
    </w:p>
    <w:p>
      <w:r>
        <w:t>Dear Editor,</w:t>
      </w:r>
    </w:p>
    <w:p>
      <w:r>
        <w:t>We submit an Article on sample-size operating characteristics for binary hit-rate LoD verification (each replicate scored detected or not). Continuous EP17 LoB/LoD and EP26 quantitative lot tests are out of scope. On a 1,225-cell equally spaced hit-rate lattice, conventional n=20 per arm was scored for miss probability β&gt;0.8 under author-specified targets (α=0.05; 80% power). The 61% underpowered fraction is a lattice property, not a laboratory prevalence. We also audited 16 publicly accessible records (Table 3; Supplementary Table 7b). No source stated 80% power. Nine of ten calculable tier A deposits exceeded n=20 under Table 1. We do not redefine LoD or replace EP17-A2. The work is computational plus a convenience file audit; it is not a prospective locked-claim laboratory study.</w:t>
      </w:r>
    </w:p>
    <w:p>
      <w:r>
        <w:t>Artificial intelligence disclosure. Generative AI was used for language editing and code assistance; all scientific content, analyses, and claims were verified by the authors.</w:t>
      </w:r>
    </w:p>
    <w:p>
      <w:r>
        <w:t>Why this belongs in Clinical Chemistry. Readers already use EP17. Familiar failure modes are underpowered “no difference” conclusions at low concentration and over-reading of all-positive runs. At n=20 per arm, 61% of lattice cells have β&gt;0.8 (Fig. 1B-C; Table 2). As one 10-point example, 90%/80% needs n*≈199 for 80% power. If that n is impractical, the manuscript treats rewriting the claim, setting a margin, or reporting exact power at the n that will be used as valid exits. Archived wording on Table 3 and Supplementary Table 7b shows the same claim-versus-n tension (ratios versus 20 often 2.6×-10×; Fig. 2). The increment relative to Vaks et al. (2016) is two-arm hit-rate planning on a published grid.</w:t>
      </w:r>
    </w:p>
    <w:p>
      <w:r>
        <w:t>Relation to prior work. Armbruster and Pry (2008) summarize manufacturer (~60) versus laboratory (~20) replicate practice. Interim EP17 guidance (2021) retains a minimum without claim-specific powered n. Linnet and Kondratovich (2004) address LoD estimation under non-Gaussian blanks. Vaks et al. (2016) model single-method PCR pass probability. Commercial EP17 tools compute LoD on a chosen path; they do not lock the detection claim before data collection.</w:t>
      </w:r>
    </w:p>
    <w:p>
      <w:r>
        <w:t>Evidence and scope. Main text: Fig. 1-2 and Tables 1-3 (within the six-item cap). Empirical support is lattice enumeration plus a 16-row retrospective audit. Limitations state the small convenience sample, assigned rates when files omitted p, and the absence of a prospective specimen panel.</w:t>
      </w:r>
    </w:p>
    <w:p>
      <w:r>
        <w:t>Statistical reliability. Supplementary Tables 3e, 3f, 7b, 8, 9b, and 9c were regenerated from lod_guide. Mapping rules and the audit ledger are in the online supplement.</w:t>
      </w:r>
    </w:p>
    <w:p>
      <w:r>
        <w:t>Availability. Figures, table CSVs, and the audit ledger rebuild from archived scripts.</w:t>
      </w:r>
    </w:p>
    <w:p>
      <w:r>
        <w:t>Suggested reviewers. We respectfully suggest James H. Nichols, PhD, DABCC, FACB (Baystate Medical Center; clinical laboratory method verification), Paula Ladwig (Mayo Clinic; CLSI EP17 document development), and Kristian Linnet, MD, DMSc (University of Copenhagen; LoD statistical methods). We ask that Jeffrey E. Vaks, PhD, not be invited owing to direct overlap with our central precedent (J Appl Lab Med 2016) and his EP17 document development role.</w:t>
      </w:r>
    </w:p>
    <w:p>
      <w:r>
        <w:t>Thank you for your consideration.</w:t>
      </w:r>
    </w:p>
    <w:p>
      <w:r>
        <w:t>Sincerely,</w:t>
      </w:r>
    </w:p>
    <w:p>
      <w:r>
        <w:t>Dong Zhang, MD</w:t>
      </w:r>
    </w:p>
    <w:p>
      <w:r>
        <w:t>Department of Clinical Laboratory, Peking Union Medical College Hospital, Beijing, PR China</w:t>
      </w:r>
    </w:p>
    <w:p>
      <w:r>
        <w:t>Qiwen Yang, PhD (corresponding author)</w:t>
      </w:r>
    </w:p>
    <w:p>
      <w:r>
        <w:t>Department of Clinical Laboratory, Peking Union Medical College Hospital, Beijing, PR China</w:t>
      </w:r>
    </w:p>
    <w:p>
      <w:r>
        <w:t>yangqiwen81@vip.163.com</w:t>
      </w:r>
    </w:p>
    <w:p>
      <w:r>
        <w:t>Editor checklist (internal)</w:t>
      </w:r>
    </w:p>
    <w:p>
      <w:r>
        <w:t>Item: Narrow claim, no EP17 overreach; Where addressed: Paragraph 1</w:t>
      </w:r>
    </w:p>
    <w:p>
      <w:r>
        <w:t>Item: Dual pillar: lattice OC + Table 3 / Supplementary Table 7b audit; Where addressed: Paragraphs 1-2 (1,225-cell lattice; 61% β&gt;0.8; sixteen 7b rows; nine of ten tier A &gt;20)</w:t>
      </w:r>
    </w:p>
    <w:p>
      <w:r>
        <w:t>Item: Fair citation of Linnet (2004) / Vaks et al. (2016); Where addressed: Paragraph 3</w:t>
      </w:r>
    </w:p>
    <w:p>
      <w:r>
        <w:t>Item: No prospective lab case; public deposits only; Where addressed: Paragraph 4</w:t>
      </w:r>
    </w:p>
    <w:p>
      <w:r>
        <w:t>Item: Reproducibility; Where addressed: Paragraph 5</w:t>
      </w:r>
    </w:p>
    <w:p>
      <w:r>
        <w:t>Item: Brief Summary; Where addressed: Title page in manuscript</w:t>
      </w:r>
    </w:p>
    <w:p>
      <w:r>
        <w:t>Item: ≤6 figures/tables in main; Where addressed: Fig. 1-2 + Tables 1-3</w:t>
      </w:r>
    </w:p>
    <w:p>
      <w:r>
        <w:t>Item: Alt text under legends; Where addressed: figure legends</w:t>
      </w:r>
    </w:p>
    <w:p>
      <w:r>
        <w:t>Optional reviewer preemption (one sentence each)</w:t>
      </w:r>
    </w:p>
    <w:p>
      <w:r>
        <w:t>“Just sample-size software.” → Detection-claim lock is part of the protocol, not a calculator after the fact.</w:t>
      </w:r>
    </w:p>
    <w:p>
      <w:r>
        <w:t>“Fleiss already covers two proportions.” → True; we bind it to LoD hit-rate claims on a published grid.</w:t>
      </w:r>
    </w:p>
    <w:p>
      <w:r>
        <w:t>“No prospective lab data.” → Acknowledged; lattice plus Supplementary Table 7b audit only.</w:t>
      </w:r>
    </w:p>
    <w:p>
      <w:r>
        <w:t>“Only one effect size.” → Primary two-arm evidence is the 1,225-cell lattice (Fig. 1B-C; Table 2; Supplementary Table 3f).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Clinical Chemistry</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