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Tables</w:t>
      </w:r>
    </w:p>
    <w:bookmarkStart w:id="24" w:name="Xad874dd6c686684287e915417e53ec398c2555c"/>
    <w:p>
      <w:pPr>
        <w:pStyle w:val="Heading2"/>
      </w:pPr>
      <w:r>
        <w:t xml:space="preserve">Table 1. Detection claim structures mapped to sample-size methods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Statistical target</w:t>
            </w:r>
          </w:p>
        </w:tc>
        <w:tc>
          <w:tcPr/>
          <w:p>
            <w:pPr>
              <w:pStyle w:val="Compact"/>
            </w:pPr>
            <w:r>
              <w:t xml:space="preserve">Typical protocol language</w:t>
            </w:r>
          </w:p>
        </w:tc>
        <w:tc>
          <w:tcPr/>
          <w:p>
            <w:pPr>
              <w:pStyle w:val="Compact"/>
            </w:pPr>
            <w:r>
              <w:t xml:space="preserve">Sample-size method</w:t>
            </w:r>
          </w:p>
        </w:tc>
      </w:tr>
      <w:tr>
        <w:tc>
          <w:tcPr/>
          <w:p>
            <w:r>
              <w:t>Benchmark confirmation</w:t>
            </w:r>
          </w:p>
        </w:tc>
        <w:tc>
          <w:tcPr/>
          <w:p>
            <w:pPr>
              <w:pStyle w:val="Compact"/>
            </w:pPr>
            <w:r>
              <w:t xml:space="preserve">p(c*) &gt;= p0</w:t>
            </w:r>
          </w:p>
        </w:tc>
        <w:tc>
          <w:tcPr/>
          <w:p>
            <w:pPr>
              <w:pStyle w:val="Compact"/>
            </w:pPr>
            <w:r>
              <w:t xml:space="preserve">Benchmark confirmation: hit rate at c* meets IFU benchmark (typically p0=0.95); one-sided Clopper-Pearson limits</w:t>
            </w:r>
          </w:p>
        </w:tc>
        <w:tc>
          <w:tcPr/>
          <w:p>
            <w:pPr>
              <w:pStyle w:val="Compact"/>
            </w:pPr>
            <w:r>
              <w:t xml:space="preserve">one-proportion vs p0</w:t>
            </w:r>
          </w:p>
        </w:tc>
      </w:tr>
      <w:tr>
        <w:tc>
          <w:tcPr/>
          <w:p>
            <w:r>
              <w:t>Two-arm comparison</w:t>
            </w:r>
          </w:p>
        </w:tc>
        <w:tc>
          <w:tcPr/>
          <w:p>
            <w:pPr>
              <w:pStyle w:val="Compact"/>
            </w:pPr>
            <w:r>
              <w:t xml:space="preserve">p_A(c</w:t>
            </w:r>
            <w:r>
              <w:rPr>
                <w:i/>
                <w:iCs/>
              </w:rPr>
              <w:t xml:space="preserve">) - p_B(c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Two-arm contrast at c*: lot/reagent discrimination theta2; exact Fisher primary (Boschloo optional confirmatory)</w:t>
            </w:r>
          </w:p>
        </w:tc>
        <w:tc>
          <w:tcPr/>
          <w:p>
            <w:pPr>
              <w:pStyle w:val="Compact"/>
            </w:pPr>
            <w:r>
              <w:t xml:space="preserve">two-proportion exact Fisher-Boschloo</w:t>
            </w:r>
          </w:p>
        </w:tc>
      </w:tr>
      <w:tr>
        <w:tc>
          <w:tcPr/>
          <w:p>
            <w:r>
              <w:t>Qualitative pass criteria</w:t>
            </w:r>
          </w:p>
        </w:tc>
        <w:tc>
          <w:tcPr/>
          <w:p>
            <w:pPr>
              <w:pStyle w:val="Compact"/>
            </w:pPr>
            <w:r>
              <w:t xml:space="preserve">P(X&gt;=k)</w:t>
            </w:r>
          </w:p>
        </w:tc>
        <w:tc>
          <w:tcPr/>
          <w:p>
            <w:pPr>
              <w:pStyle w:val="Compact"/>
            </w:pPr>
            <w:r>
              <w:t xml:space="preserve">Qualitative pass rule (e.g. 19/20): operating event {X&gt;=k}; binomial pass probability distinct from benchmark confirmation</w:t>
            </w:r>
          </w:p>
        </w:tc>
        <w:tc>
          <w:tcPr/>
          <w:p>
            <w:pPr>
              <w:pStyle w:val="Compact"/>
            </w:pPr>
            <w:r>
              <w:t xml:space="preserve">binomial cumulative search</w:t>
            </w:r>
          </w:p>
        </w:tc>
      </w:tr>
    </w:tbl>
    <w:bookmarkEnd w:id="24"/>
    <w:bookmarkStart w:id="25" w:name="X570479e8805520fe088062f410444236d7d4c94"/>
    <w:p>
      <w:pPr>
        <w:pStyle w:val="Heading2"/>
      </w:pPr>
      <w:r>
        <w:t xml:space="preserve">Table 2. Two-arm operating characteristics: eight reference pairs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 arm</w:t>
      </w:r>
    </w:p>
    <w:p>
      <w:pPr>
        <w:pStyle w:val="FirstParagraph"/>
      </w:pPr>
      <w:r>
        <w:rPr>
          <w:i/>
          <w:iCs/>
        </w:rPr>
        <w:t xml:space="preserve">Full integer 50–99% comparison grid (1225 valid cells): online Supplementary Table 3 CSV extension.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p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/arm</w:t>
            </w:r>
          </w:p>
        </w:tc>
        <w:tc>
          <w:tcPr/>
          <w:p>
            <w:pPr>
              <w:pStyle w:val="Compact"/>
            </w:pPr>
            <w:r>
              <w:t xml:space="preserve">Exact Fisher power</w:t>
            </w:r>
          </w:p>
        </w:tc>
        <w:tc>
          <w:tcPr/>
          <w:p>
            <w:pPr>
              <w:pStyle w:val="Compact"/>
            </w:pPr>
            <w:r>
              <w:t xml:space="preserve">Miss</w:t>
            </w:r>
            <w:r>
              <w:t xml:space="preserve"> </w:t>
            </w:r>
            <m:oMath>
              <m:r>
                <m:t>β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(80% power)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90/80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0.072</w:t>
            </w:r>
          </w:p>
        </w:tc>
        <w:tc>
          <w:tcPr/>
          <w:p>
            <w:pPr>
              <w:pStyle w:val="Compact"/>
            </w:pPr>
            <w:r>
              <w:t xml:space="preserve">0.928</w:t>
            </w:r>
          </w:p>
        </w:tc>
        <w:tc>
          <w:tcPr/>
          <w:p>
            <w:pPr>
              <w:pStyle w:val="Compact"/>
            </w:pPr>
            <w:r>
              <w:t xml:space="preserve">199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95/85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0.070</w:t>
            </w:r>
          </w:p>
        </w:tc>
        <w:tc>
          <w:tcPr/>
          <w:p>
            <w:pPr>
              <w:pStyle w:val="Compact"/>
            </w:pPr>
            <w:r>
              <w:t xml:space="preserve">0.930</w:t>
            </w:r>
          </w:p>
        </w:tc>
        <w:tc>
          <w:tcPr/>
          <w:p>
            <w:pPr>
              <w:pStyle w:val="Compact"/>
            </w:pPr>
            <w:r>
              <w:t xml:space="preserve">141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90/70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0.242</w:t>
            </w:r>
          </w:p>
        </w:tc>
        <w:tc>
          <w:tcPr/>
          <w:p>
            <w:pPr>
              <w:pStyle w:val="Compact"/>
            </w:pPr>
            <w:r>
              <w:t xml:space="preserve">0.758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90/50</w:t>
            </w:r>
          </w:p>
        </w:tc>
        <w:tc>
          <w:tcPr/>
          <w:p>
            <w:pPr>
              <w:pStyle w:val="Compact"/>
            </w:pPr>
            <w:r>
              <w:t xml:space="preserve">0.400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0.742</w:t>
            </w:r>
          </w:p>
        </w:tc>
        <w:tc>
          <w:tcPr/>
          <w:p>
            <w:pPr>
              <w:pStyle w:val="Compact"/>
            </w:pPr>
            <w:r>
              <w:t xml:space="preserve">0.258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95/90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0.983</w:t>
            </w:r>
          </w:p>
        </w:tc>
        <w:tc>
          <w:tcPr/>
          <w:p>
            <w:pPr>
              <w:pStyle w:val="Compact"/>
            </w:pPr>
            <w:r>
              <w:t xml:space="preserve">435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80/70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294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99/95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285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85/75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</w:tr>
    </w:tbl>
    <w:bookmarkEnd w:id="25"/>
    <w:bookmarkStart w:id="26" w:name="X7f7ba027a695ccce1d4b509f610b8797d5227ad"/>
    <w:p>
      <w:pPr>
        <w:pStyle w:val="Heading2"/>
      </w:pPr>
      <w:r>
        <w:t xml:space="preserve">Table 3. Tier A public-deposit calibration meta-summary</w:t>
      </w:r>
    </w:p>
    <w:p>
      <w:pPr>
        <w:pStyle w:val="FirstParagraph"/>
      </w:pPr>
      <w:r>
        <w:rPr>
          <w:i/>
          <w:iCs/>
        </w:rPr>
        <w:t xml:space="preserve">One row per evidence-tier-A dataset (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>
          <w:i/>
          <w:iCs/>
        </w:rPr>
        <w:t xml:space="preserve">): parametric gate outcome, model path, guidance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versus conventional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rPr>
          <w:i/>
          <w:iCs/>
        </w:rPr>
        <w:t xml:space="preserve">, ratio</w:t>
      </w:r>
      <w:r>
        <w:rPr>
          <w:i/>
          <w:iCs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g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20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when applicable, and LoQ@CV20% when a precision profile applies. Blank ratio cells indicate no comparable guidance path or missing contrast inputs (Fig. 2B labels these “ratio N/A”). Tier C/S deposits are excluded by design. Supports Fig. 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Result family</w:t>
            </w:r>
          </w:p>
        </w:tc>
        <w:tc>
          <w:tcPr/>
          <w:p>
            <w:pPr>
              <w:pStyle w:val="Compact"/>
            </w:pPr>
            <w:r>
              <w:t xml:space="preserve">Model path</w:t>
            </w:r>
          </w:p>
        </w:tc>
        <w:tc>
          <w:tcPr/>
          <w:p>
            <w:pPr>
              <w:pStyle w:val="Compact"/>
            </w:pPr>
            <w:r>
              <w:t xml:space="preserve">Guidance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Conventional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20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LoQ@CV20%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Piaggio et al. (2024)</w:t>
            </w:r>
          </w:p>
        </w:tc>
        <w:tc>
          <w:tcPr/>
          <w:p>
            <w:pPr>
              <w:pStyle w:val="Compact"/>
            </w:pPr>
            <w:r>
              <w:t xml:space="preserve">qpcr_cq_continuous</w:t>
            </w:r>
          </w:p>
        </w:tc>
        <w:tc>
          <w:tcPr/>
          <w:p>
            <w:pPr>
              <w:pStyle w:val="Compact"/>
            </w:pPr>
            <w:r>
              <w:t xml:space="preserve">nonparametric_percentile</w:t>
            </w:r>
          </w:p>
        </w:tc>
        <w:tc>
          <w:tcPr/>
          <w:p>
            <w:r>
              <w:t>199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r>
              <w:t>9.950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Piaggio et al. (2024)</w:t>
            </w:r>
          </w:p>
        </w:tc>
        <w:tc>
          <w:tcPr/>
          <w:p>
            <w:pPr>
              <w:pStyle w:val="Compact"/>
            </w:pPr>
            <w:r>
              <w:t xml:space="preserve">qpcr_cq_continuous</w:t>
            </w:r>
          </w:p>
        </w:tc>
        <w:tc>
          <w:tcPr/>
          <w:p>
            <w:pPr>
              <w:pStyle w:val="Compact"/>
            </w:pPr>
            <w:r>
              <w:t xml:space="preserve">nonparametric_percentile</w:t>
            </w:r>
          </w:p>
        </w:tc>
        <w:tc>
          <w:tcPr/>
          <w:p>
            <w:r>
              <w:t>199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r>
              <w:t>9.950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Analyse-it EP17 workbook</w:t>
            </w:r>
          </w:p>
        </w:tc>
        <w:tc>
          <w:tcPr/>
          <w:p>
            <w:pPr>
              <w:pStyle w:val="Compact"/>
            </w:pPr>
            <w:r>
              <w:t xml:space="preserve">immunoassay_continuous</w:t>
            </w:r>
          </w:p>
        </w:tc>
        <w:tc>
          <w:tcPr/>
          <w:p>
            <w:pPr>
              <w:pStyle w:val="Compact"/>
            </w:pPr>
            <w:r>
              <w:t xml:space="preserve">nonparametric_percentile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2.650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Analyse-it EP17 workbook</w:t>
            </w:r>
          </w:p>
        </w:tc>
        <w:tc>
          <w:tcPr/>
          <w:p>
            <w:pPr>
              <w:pStyle w:val="Compact"/>
            </w:pPr>
            <w:r>
              <w:t xml:space="preserve">probit_hit_rate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r>
              <w:t>199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r>
              <w:t>9.950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Carobene et al. (2026)</w:t>
            </w:r>
          </w:p>
        </w:tc>
        <w:tc>
          <w:tcPr/>
          <w:p>
            <w:pPr>
              <w:pStyle w:val="Compact"/>
            </w:pPr>
            <w:r>
              <w:t xml:space="preserve">clinical_chemistry_multilab</w:t>
            </w:r>
          </w:p>
        </w:tc>
        <w:tc>
          <w:tcPr/>
          <w:p>
            <w:pPr>
              <w:pStyle w:val="Compact"/>
            </w:pPr>
            <w:r>
              <w:t xml:space="preserve">nonparametric_percentile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MSstatsLOBD / CPTAC</w:t>
            </w:r>
          </w:p>
        </w:tc>
        <w:tc>
          <w:tcPr/>
          <w:p>
            <w:pPr>
              <w:pStyle w:val="Compact"/>
            </w:pPr>
            <w:r>
              <w:t xml:space="preserve">proteomics_blank_lob</w:t>
            </w:r>
          </w:p>
        </w:tc>
        <w:tc>
          <w:tcPr/>
          <w:p>
            <w:pPr>
              <w:pStyle w:val="Compact"/>
            </w:pPr>
            <w:r>
              <w:t xml:space="preserve">parametric_lognormal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2.650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Malkamäki et al. (2024)</w:t>
            </w:r>
          </w:p>
        </w:tc>
        <w:tc>
          <w:tcPr/>
          <w:p>
            <w:pPr>
              <w:pStyle w:val="Compact"/>
            </w:pPr>
            <w:r>
              <w:t xml:space="preserve">radioimmuno_precision_profile</w:t>
            </w:r>
          </w:p>
        </w:tc>
        <w:tc>
          <w:tcPr/>
          <w:p>
            <w:pPr>
              <w:pStyle w:val="Compact"/>
            </w:pPr>
            <w:r>
              <w:t xml:space="preserve">parametric_normal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2.650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Malkamäki et al. (2024)</w:t>
            </w:r>
          </w:p>
        </w:tc>
        <w:tc>
          <w:tcPr/>
          <w:p>
            <w:pPr>
              <w:pStyle w:val="Compact"/>
            </w:pPr>
            <w:r>
              <w:t xml:space="preserve">radioimmuno_linearity_continuous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plos_bzdok2024_trec_lod</w:t>
            </w:r>
          </w:p>
        </w:tc>
        <w:tc>
          <w:tcPr/>
          <w:p>
            <w:pPr>
              <w:pStyle w:val="Compact"/>
            </w:pPr>
            <w:r>
              <w:t xml:space="preserve">hospital_qpcr_lod_replicates</w:t>
            </w:r>
          </w:p>
        </w:tc>
        <w:tc>
          <w:tcPr/>
          <w:p>
            <w:pPr>
              <w:pStyle w:val="Compact"/>
            </w:pPr>
            <w:r>
              <w:t xml:space="preserve">parametric_normal</w:t>
            </w:r>
          </w:p>
        </w:tc>
        <w:tc>
          <w:tcPr/>
          <w:p>
            <w:r>
              <w:t>199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r>
              <w:t>9.950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Sawant et al. (2025)</w:t>
            </w:r>
          </w:p>
        </w:tc>
        <w:tc>
          <w:tcPr/>
          <w:p>
            <w:pPr>
              <w:pStyle w:val="Compact"/>
            </w:pPr>
            <w:r>
              <w:t xml:space="preserve">rmn_microneutralization_continuous</w:t>
            </w:r>
          </w:p>
        </w:tc>
        <w:tc>
          <w:tcPr/>
          <w:p>
            <w:pPr>
              <w:pStyle w:val="Compact"/>
            </w:pPr>
            <w:r>
              <w:t xml:space="preserve">nonparametric_percentile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2.650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End w:id="27"/>
    <w:bookmarkStart w:id="30" w:name="figure-legends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 tables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