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9720" w:type="dxa"/>
            <w:noWrap w:val="0"/>
            <w:vAlign w:val="top"/>
          </w:tcPr>
          <w:p>
            <w:pPr>
              <w:spacing w:line="360" w:lineRule="auto"/>
              <w:rPr>
                <w:rFonts w:hint="eastAsia" w:ascii="黑体" w:hAnsi="黑体" w:eastAsia="黑体" w:cs="黑体"/>
                <w:b/>
                <w:bCs/>
                <w:sz w:val="24"/>
                <w:szCs w:val="24"/>
                <w:lang w:val="en-US" w:eastAsia="zh-CN"/>
              </w:rPr>
            </w:pPr>
            <w:bookmarkStart w:id="0" w:name="_GoBack"/>
            <w:bookmarkEnd w:id="0"/>
            <w:r>
              <w:rPr>
                <w:rFonts w:hint="eastAsia" w:ascii="黑体" w:hAnsi="黑体" w:eastAsia="黑体" w:cs="黑体"/>
                <w:b/>
                <w:bCs/>
                <w:sz w:val="24"/>
                <w:szCs w:val="24"/>
                <w:lang w:val="en-US" w:eastAsia="zh-CN"/>
              </w:rPr>
              <w:t>六、数据处理</w:t>
            </w:r>
          </w:p>
          <w:p>
            <w:pPr>
              <w:spacing w:line="360" w:lineRule="auto"/>
              <w:rPr>
                <w:rFonts w:hint="eastAsia" w:ascii="宋体" w:hAnsi="宋体"/>
                <w:b/>
                <w:bCs/>
                <w:szCs w:val="21"/>
              </w:rPr>
            </w:pPr>
            <w:r>
              <w:rPr>
                <w:rFonts w:hint="eastAsia" w:ascii="宋体" w:hAnsi="宋体"/>
                <w:b/>
                <w:bCs/>
                <w:szCs w:val="21"/>
              </w:rPr>
              <w:t>表1 单臂电桥的数据记录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2"/>
              <w:gridCol w:w="1082"/>
              <w:gridCol w:w="1082"/>
              <w:gridCol w:w="1082"/>
              <w:gridCol w:w="1082"/>
              <w:gridCol w:w="1082"/>
              <w:gridCol w:w="1082"/>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砝码个数</w:t>
                  </w:r>
                </w:p>
              </w:tc>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0</w:t>
                  </w:r>
                </w:p>
              </w:tc>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1</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2</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3</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4</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5</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砝码质量 (g)</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val="0"/>
                      <w:bCs w:val="0"/>
                      <w:sz w:val="21"/>
                      <w:szCs w:val="21"/>
                      <w:lang w:val="en-US" w:eastAsia="zh-CN"/>
                    </w:rPr>
                  </w:pPr>
                  <w:r>
                    <w:rPr>
                      <w:rFonts w:hint="eastAsia" w:cs="宋体"/>
                      <w:b w:val="0"/>
                      <w:bCs w:val="0"/>
                      <w:sz w:val="21"/>
                      <w:szCs w:val="21"/>
                      <w:lang w:val="en-US" w:eastAsia="zh-CN"/>
                    </w:rPr>
                    <w:t>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40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80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100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i/>
                      <w:iCs/>
                      <w:color w:val="000000"/>
                      <w:sz w:val="21"/>
                      <w:szCs w:val="21"/>
                    </w:rPr>
                    <w:t>ΔU(mV)</w:t>
                  </w:r>
                  <w:r>
                    <w:rPr>
                      <w:rFonts w:hint="eastAsia" w:cs="宋体"/>
                      <w:b/>
                      <w:bCs/>
                      <w:i/>
                      <w:iCs/>
                      <w:color w:val="000000"/>
                      <w:sz w:val="21"/>
                      <w:szCs w:val="21"/>
                      <w:lang w:eastAsia="zh-CN"/>
                    </w:rPr>
                    <w:t>（</w:t>
                  </w:r>
                  <w:r>
                    <w:rPr>
                      <w:rFonts w:hint="eastAsia" w:cs="宋体"/>
                      <w:b/>
                      <w:bCs/>
                      <w:i/>
                      <w:iCs/>
                      <w:color w:val="000000"/>
                      <w:sz w:val="21"/>
                      <w:szCs w:val="21"/>
                      <w:lang w:val="en-US" w:eastAsia="zh-CN"/>
                    </w:rPr>
                    <w:t>平均</w:t>
                  </w:r>
                  <w:r>
                    <w:rPr>
                      <w:rFonts w:hint="eastAsia" w:cs="宋体"/>
                      <w:b/>
                      <w:bCs/>
                      <w:color w:val="000000"/>
                      <w:sz w:val="21"/>
                      <w:szCs w:val="21"/>
                      <w:lang w:eastAsia="zh-CN"/>
                    </w:rPr>
                    <w:t>）</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2.30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11.15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19.95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28.70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37.60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45.50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54.35</w:t>
                  </w:r>
                </w:p>
              </w:tc>
            </w:tr>
          </w:tbl>
          <w:p>
            <w:pPr>
              <w:spacing w:line="360" w:lineRule="auto"/>
              <w:ind w:firstLine="420" w:firstLineChars="200"/>
              <w:rPr>
                <w:rFonts w:hint="eastAsia" w:ascii="宋体" w:hAnsi="宋体" w:eastAsia="宋体" w:cs="Times New Roman"/>
                <w:kern w:val="2"/>
                <w:sz w:val="21"/>
                <w:szCs w:val="21"/>
                <w:u w:val="singl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720" w:type="dxa"/>
            <w:noWrap w:val="0"/>
            <w:vAlign w:val="top"/>
          </w:tcPr>
          <w:p>
            <w:pPr>
              <w:spacing w:line="360" w:lineRule="auto"/>
              <w:rPr>
                <w:rFonts w:ascii="Cambria Math" w:hAnsi="Cambria Math" w:cs="Cambria Math"/>
                <w:szCs w:val="21"/>
              </w:rPr>
            </w:pPr>
            <w:r>
              <w:rPr>
                <w:rFonts w:hint="eastAsia" w:ascii="宋体" w:hAnsi="宋体"/>
                <w:b/>
                <w:bCs/>
                <w:szCs w:val="21"/>
              </w:rPr>
              <w:t xml:space="preserve">表2 双臂电桥数据记录 </w:t>
            </w:r>
            <w:r>
              <w:rPr>
                <w:rFonts w:ascii="宋体" w:hAnsi="宋体"/>
                <w:b/>
                <w:bCs/>
                <w:szCs w:val="21"/>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2"/>
              <w:gridCol w:w="1082"/>
              <w:gridCol w:w="1082"/>
              <w:gridCol w:w="1082"/>
              <w:gridCol w:w="1082"/>
              <w:gridCol w:w="1082"/>
              <w:gridCol w:w="1082"/>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砝码个数</w:t>
                  </w:r>
                </w:p>
              </w:tc>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0</w:t>
                  </w:r>
                </w:p>
              </w:tc>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1</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2</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3</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4</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5</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砝码质量 (g)</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40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80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100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i/>
                      <w:iCs/>
                      <w:color w:val="000000"/>
                      <w:sz w:val="21"/>
                      <w:szCs w:val="21"/>
                    </w:rPr>
                    <w:t>ΔU(mV)</w:t>
                  </w:r>
                  <w:r>
                    <w:rPr>
                      <w:rFonts w:hint="eastAsia" w:cs="宋体"/>
                      <w:b/>
                      <w:bCs/>
                      <w:i/>
                      <w:iCs/>
                      <w:color w:val="000000"/>
                      <w:sz w:val="21"/>
                      <w:szCs w:val="21"/>
                      <w:lang w:eastAsia="zh-CN"/>
                    </w:rPr>
                    <w:t>（</w:t>
                  </w:r>
                  <w:r>
                    <w:rPr>
                      <w:rFonts w:hint="eastAsia" w:cs="宋体"/>
                      <w:b/>
                      <w:bCs/>
                      <w:i/>
                      <w:iCs/>
                      <w:color w:val="000000"/>
                      <w:sz w:val="21"/>
                      <w:szCs w:val="21"/>
                      <w:lang w:val="en-US" w:eastAsia="zh-CN"/>
                    </w:rPr>
                    <w:t>平均</w:t>
                  </w:r>
                  <w:r>
                    <w:rPr>
                      <w:rFonts w:hint="eastAsia" w:cs="宋体"/>
                      <w:b/>
                      <w:bCs/>
                      <w:color w:val="000000"/>
                      <w:sz w:val="21"/>
                      <w:szCs w:val="21"/>
                      <w:lang w:eastAsia="zh-CN"/>
                    </w:rPr>
                    <w:t>）</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19.60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35.90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53.90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71.20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88.60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105.85</w:t>
                  </w:r>
                </w:p>
              </w:tc>
            </w:tr>
          </w:tbl>
          <w:p>
            <w:pPr>
              <w:spacing w:line="360" w:lineRule="auto"/>
              <w:ind w:firstLine="211" w:firstLineChars="100"/>
              <w:rPr>
                <w:rFonts w:hint="eastAsia" w:ascii="宋体" w:hAnsi="宋体"/>
                <w:b/>
                <w:bCs/>
                <w:szCs w:val="21"/>
                <w:lang w:val="en-US" w:eastAsia="zh-CN"/>
              </w:rPr>
            </w:pPr>
            <w:r>
              <w:rPr>
                <w:rFonts w:hint="eastAsia" w:ascii="宋体" w:hAnsi="宋体"/>
                <w:b/>
                <w:bCs/>
                <w:szCs w:val="21"/>
                <w:lang w:val="en-US" w:eastAsia="zh-CN"/>
              </w:rPr>
              <w:t>表3 全臂电桥数据记录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2"/>
              <w:gridCol w:w="1082"/>
              <w:gridCol w:w="1082"/>
              <w:gridCol w:w="1082"/>
              <w:gridCol w:w="1082"/>
              <w:gridCol w:w="1082"/>
              <w:gridCol w:w="1082"/>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砝码个数</w:t>
                  </w:r>
                </w:p>
              </w:tc>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0</w:t>
                  </w:r>
                </w:p>
              </w:tc>
              <w:tc>
                <w:tcPr>
                  <w:tcW w:w="1082" w:type="dxa"/>
                  <w:noWrap w:val="0"/>
                  <w:vAlign w:val="center"/>
                </w:tcPr>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1</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2</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3</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4</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5</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砝码质量 (g)</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40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80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100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i/>
                      <w:iCs/>
                      <w:color w:val="000000"/>
                      <w:sz w:val="21"/>
                      <w:szCs w:val="21"/>
                    </w:rPr>
                    <w:t>ΔU(mV)</w:t>
                  </w:r>
                  <w:r>
                    <w:rPr>
                      <w:rFonts w:hint="eastAsia" w:cs="宋体"/>
                      <w:b/>
                      <w:bCs/>
                      <w:i/>
                      <w:iCs/>
                      <w:color w:val="000000"/>
                      <w:sz w:val="21"/>
                      <w:szCs w:val="21"/>
                      <w:lang w:eastAsia="zh-CN"/>
                    </w:rPr>
                    <w:t>（</w:t>
                  </w:r>
                  <w:r>
                    <w:rPr>
                      <w:rFonts w:hint="eastAsia" w:cs="宋体"/>
                      <w:b/>
                      <w:bCs/>
                      <w:i/>
                      <w:iCs/>
                      <w:color w:val="000000"/>
                      <w:sz w:val="21"/>
                      <w:szCs w:val="21"/>
                      <w:lang w:val="en-US" w:eastAsia="zh-CN"/>
                    </w:rPr>
                    <w:t>平均</w:t>
                  </w:r>
                  <w:r>
                    <w:rPr>
                      <w:rFonts w:hint="eastAsia" w:cs="宋体"/>
                      <w:b/>
                      <w:bCs/>
                      <w:color w:val="000000"/>
                      <w:sz w:val="21"/>
                      <w:szCs w:val="21"/>
                      <w:lang w:eastAsia="zh-CN"/>
                    </w:rPr>
                    <w:t>）</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2.45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37.35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72.20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107.35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141.75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176.75</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4"/>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211.5</w:t>
                  </w:r>
                </w:p>
              </w:tc>
            </w:tr>
          </w:tbl>
          <w:p>
            <w:pPr>
              <w:spacing w:line="360" w:lineRule="auto"/>
              <w:ind w:firstLine="211" w:firstLineChars="100"/>
              <w:rPr>
                <w:rFonts w:hint="eastAsia" w:ascii="宋体" w:hAnsi="宋体" w:eastAsia="宋体" w:cs="Times New Roman"/>
                <w:b/>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9720" w:type="dxa"/>
            <w:noWrap w:val="0"/>
            <w:vAlign w:val="top"/>
          </w:tcPr>
          <w:p>
            <w:pPr>
              <w:spacing w:line="360" w:lineRule="auto"/>
              <w:ind w:firstLine="420" w:firstLineChars="200"/>
              <w:rPr>
                <w:rFonts w:hint="eastAsia" w:ascii="宋体" w:hAnsi="宋体"/>
                <w:szCs w:val="21"/>
                <w:u w:val="none"/>
                <w:lang w:val="en-US" w:eastAsia="zh-CN"/>
              </w:rPr>
            </w:pPr>
            <w:r>
              <w:rPr>
                <w:rFonts w:hint="eastAsia" w:ascii="宋体" w:hAnsi="宋体"/>
                <w:szCs w:val="21"/>
                <w:u w:val="none"/>
                <w:lang w:val="en-US" w:eastAsia="zh-CN"/>
              </w:rPr>
              <w:t>根据上面的表格，可以画出对应图：</w:t>
            </w:r>
          </w:p>
          <w:p>
            <w:pPr>
              <w:spacing w:line="360" w:lineRule="auto"/>
              <w:ind w:firstLine="420" w:firstLineChars="200"/>
              <w:rPr>
                <w:rFonts w:hint="eastAsia" w:ascii="宋体" w:hAnsi="宋体"/>
                <w:szCs w:val="21"/>
                <w:u w:val="none"/>
                <w:lang w:val="en-US" w:eastAsia="zh-CN"/>
              </w:rPr>
            </w:pPr>
            <w:r>
              <w:rPr>
                <w:rFonts w:hint="eastAsia" w:ascii="宋体" w:hAnsi="宋体"/>
                <w:szCs w:val="21"/>
                <w:u w:val="none"/>
                <w:lang w:val="en-US" w:eastAsia="zh-CN"/>
              </w:rPr>
              <w:drawing>
                <wp:inline distT="0" distB="0" distL="114300" distR="114300">
                  <wp:extent cx="5226050" cy="2582545"/>
                  <wp:effectExtent l="0" t="0" r="1270" b="8255"/>
                  <wp:docPr id="2" name="图片 2"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
                          <pic:cNvPicPr>
                            <a:picLocks noChangeAspect="1"/>
                          </pic:cNvPicPr>
                        </pic:nvPicPr>
                        <pic:blipFill>
                          <a:blip r:embed="rId7"/>
                          <a:stretch>
                            <a:fillRect/>
                          </a:stretch>
                        </pic:blipFill>
                        <pic:spPr>
                          <a:xfrm>
                            <a:off x="0" y="0"/>
                            <a:ext cx="5226050" cy="2582545"/>
                          </a:xfrm>
                          <a:prstGeom prst="rect">
                            <a:avLst/>
                          </a:prstGeom>
                        </pic:spPr>
                      </pic:pic>
                    </a:graphicData>
                  </a:graphic>
                </wp:inline>
              </w:drawing>
            </w:r>
          </w:p>
          <w:p>
            <w:pPr>
              <w:spacing w:line="360" w:lineRule="auto"/>
              <w:ind w:firstLine="420" w:firstLineChars="200"/>
              <w:jc w:val="center"/>
              <w:rPr>
                <w:rFonts w:hint="eastAsia" w:ascii="宋体" w:hAnsi="宋体"/>
                <w:szCs w:val="21"/>
                <w:u w:val="none"/>
                <w:lang w:val="en-US" w:eastAsia="zh-CN"/>
              </w:rPr>
            </w:pPr>
            <w:r>
              <w:rPr>
                <w:rFonts w:hint="eastAsia" w:ascii="宋体" w:hAnsi="宋体"/>
                <w:szCs w:val="21"/>
                <w:u w:val="none"/>
                <w:lang w:val="en-US" w:eastAsia="zh-CN"/>
              </w:rPr>
              <w:t>图8：单臂电桥的桥电压和质量的关系</w:t>
            </w:r>
          </w:p>
          <w:p>
            <w:pPr>
              <w:spacing w:line="360" w:lineRule="auto"/>
              <w:ind w:firstLine="420" w:firstLineChars="200"/>
              <w:jc w:val="center"/>
              <w:rPr>
                <w:rFonts w:hint="eastAsia" w:ascii="宋体" w:hAnsi="宋体"/>
                <w:szCs w:val="21"/>
                <w:u w:val="none"/>
                <w:lang w:val="en-US" w:eastAsia="zh-CN"/>
              </w:rPr>
            </w:pPr>
            <w:r>
              <w:rPr>
                <w:rFonts w:hint="eastAsia" w:ascii="宋体" w:hAnsi="宋体"/>
                <w:szCs w:val="21"/>
                <w:u w:val="none"/>
                <w:lang w:val="en-US" w:eastAsia="zh-CN"/>
              </w:rPr>
              <w:drawing>
                <wp:inline distT="0" distB="0" distL="114300" distR="114300">
                  <wp:extent cx="5223510" cy="2581275"/>
                  <wp:effectExtent l="0" t="0" r="3810" b="9525"/>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
                          <pic:cNvPicPr>
                            <a:picLocks noChangeAspect="1"/>
                          </pic:cNvPicPr>
                        </pic:nvPicPr>
                        <pic:blipFill>
                          <a:blip r:embed="rId8"/>
                          <a:stretch>
                            <a:fillRect/>
                          </a:stretch>
                        </pic:blipFill>
                        <pic:spPr>
                          <a:xfrm>
                            <a:off x="0" y="0"/>
                            <a:ext cx="5223510" cy="2581275"/>
                          </a:xfrm>
                          <a:prstGeom prst="rect">
                            <a:avLst/>
                          </a:prstGeom>
                        </pic:spPr>
                      </pic:pic>
                    </a:graphicData>
                  </a:graphic>
                </wp:inline>
              </w:drawing>
            </w:r>
          </w:p>
          <w:p>
            <w:pPr>
              <w:spacing w:line="360" w:lineRule="auto"/>
              <w:ind w:firstLine="420" w:firstLineChars="200"/>
              <w:jc w:val="center"/>
              <w:rPr>
                <w:rFonts w:hint="eastAsia" w:ascii="宋体" w:hAnsi="宋体"/>
                <w:szCs w:val="21"/>
                <w:u w:val="none"/>
                <w:lang w:val="en-US" w:eastAsia="zh-CN"/>
              </w:rPr>
            </w:pPr>
            <w:r>
              <w:rPr>
                <w:rFonts w:hint="eastAsia" w:ascii="宋体" w:hAnsi="宋体"/>
                <w:szCs w:val="21"/>
                <w:u w:val="none"/>
                <w:lang w:val="en-US" w:eastAsia="zh-CN"/>
              </w:rPr>
              <w:t>图9：双臂电桥电压与质量的关系</w:t>
            </w:r>
          </w:p>
          <w:p>
            <w:pPr>
              <w:spacing w:line="360" w:lineRule="auto"/>
              <w:ind w:firstLine="420" w:firstLineChars="200"/>
              <w:jc w:val="center"/>
              <w:rPr>
                <w:rFonts w:hint="default" w:ascii="宋体" w:hAnsi="宋体"/>
                <w:szCs w:val="21"/>
                <w:u w:val="none"/>
                <w:lang w:val="en-US" w:eastAsia="zh-CN"/>
              </w:rPr>
            </w:pPr>
            <w:r>
              <w:rPr>
                <w:rFonts w:hint="default" w:ascii="宋体" w:hAnsi="宋体"/>
                <w:szCs w:val="21"/>
                <w:u w:val="none"/>
                <w:lang w:val="en-US" w:eastAsia="zh-CN"/>
              </w:rPr>
              <w:drawing>
                <wp:inline distT="0" distB="0" distL="114300" distR="114300">
                  <wp:extent cx="5223510" cy="2581275"/>
                  <wp:effectExtent l="0" t="0" r="3810" b="952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9"/>
                          <a:stretch>
                            <a:fillRect/>
                          </a:stretch>
                        </pic:blipFill>
                        <pic:spPr>
                          <a:xfrm>
                            <a:off x="0" y="0"/>
                            <a:ext cx="5223510" cy="2581275"/>
                          </a:xfrm>
                          <a:prstGeom prst="rect">
                            <a:avLst/>
                          </a:prstGeom>
                        </pic:spPr>
                      </pic:pic>
                    </a:graphicData>
                  </a:graphic>
                </wp:inline>
              </w:drawing>
            </w:r>
          </w:p>
          <w:p>
            <w:pPr>
              <w:spacing w:line="360" w:lineRule="auto"/>
              <w:ind w:firstLine="420" w:firstLineChars="200"/>
              <w:jc w:val="center"/>
              <w:rPr>
                <w:rFonts w:hint="eastAsia" w:ascii="宋体" w:hAnsi="宋体"/>
                <w:szCs w:val="21"/>
                <w:u w:val="none"/>
                <w:lang w:val="en-US" w:eastAsia="zh-CN"/>
              </w:rPr>
            </w:pPr>
            <w:r>
              <w:rPr>
                <w:rFonts w:hint="eastAsia" w:ascii="宋体" w:hAnsi="宋体"/>
                <w:szCs w:val="21"/>
                <w:u w:val="none"/>
                <w:lang w:val="en-US" w:eastAsia="zh-CN"/>
              </w:rPr>
              <w:t>图10：全臂电桥电压与质量的关系</w:t>
            </w:r>
          </w:p>
          <w:p>
            <w:pPr>
              <w:spacing w:line="360" w:lineRule="auto"/>
              <w:ind w:firstLine="420" w:firstLineChars="200"/>
              <w:jc w:val="left"/>
              <w:rPr>
                <w:rFonts w:hint="eastAsia" w:hAnsi="Cambria Math"/>
                <w:i w:val="0"/>
                <w:szCs w:val="21"/>
                <w:u w:val="none"/>
                <w:lang w:val="en-US" w:eastAsia="zh-CN"/>
              </w:rPr>
            </w:pPr>
            <w:r>
              <w:rPr>
                <w:rFonts w:hint="eastAsia" w:ascii="宋体" w:hAnsi="宋体"/>
                <w:szCs w:val="21"/>
                <w:u w:val="none"/>
                <w:lang w:val="en-US" w:eastAsia="zh-CN"/>
              </w:rPr>
              <w:t>分析图8，使用Python作出拟合曲线，可得曲线方程为y = 0.43x + 2.53，因此，只把单臂接入应变片时，电桥的灵敏度约0.43mV/g，由图可以分析获得，零点误差为 2.1857mv，</w:t>
            </w:r>
            <m:oMath>
              <m:sSup>
                <m:sSupPr>
                  <m:ctrlPr>
                    <w:rPr>
                      <w:rFonts w:ascii="Cambria Math" w:hAnsi="Cambria Math"/>
                      <w:i/>
                      <w:szCs w:val="21"/>
                      <w:u w:val="none"/>
                      <w:lang w:val="en-US"/>
                    </w:rPr>
                  </m:ctrlPr>
                </m:sSupPr>
                <m:e>
                  <m:r>
                    <m:rPr/>
                    <w:rPr>
                      <w:rFonts w:hint="default" w:ascii="Cambria Math" w:hAnsi="Cambria Math"/>
                      <w:szCs w:val="21"/>
                      <w:u w:val="none"/>
                      <w:lang w:val="en-US" w:eastAsia="zh-CN"/>
                    </w:rPr>
                    <m:t>R</m:t>
                  </m:r>
                  <m:ctrlPr>
                    <w:rPr>
                      <w:rFonts w:ascii="Cambria Math" w:hAnsi="Cambria Math"/>
                      <w:i/>
                      <w:szCs w:val="21"/>
                      <w:u w:val="none"/>
                      <w:lang w:val="en-US"/>
                    </w:rPr>
                  </m:ctrlPr>
                </m:e>
                <m:sup>
                  <m:r>
                    <m:rPr/>
                    <w:rPr>
                      <w:rFonts w:hint="default" w:ascii="Cambria Math" w:hAnsi="Cambria Math"/>
                      <w:szCs w:val="21"/>
                      <w:u w:val="none"/>
                      <w:lang w:val="en-US" w:eastAsia="zh-CN"/>
                    </w:rPr>
                    <m:t>2</m:t>
                  </m:r>
                  <m:ctrlPr>
                    <w:rPr>
                      <w:rFonts w:ascii="Cambria Math" w:hAnsi="Cambria Math"/>
                      <w:i/>
                      <w:szCs w:val="21"/>
                      <w:u w:val="none"/>
                      <w:lang w:val="en-US"/>
                    </w:rPr>
                  </m:ctrlPr>
                </m:sup>
              </m:sSup>
              <m:r>
                <m:rPr/>
                <w:rPr>
                  <w:rFonts w:hint="default" w:ascii="Cambria Math" w:hAnsi="Cambria Math"/>
                  <w:szCs w:val="21"/>
                  <w:u w:val="none"/>
                  <w:lang w:val="en-US" w:eastAsia="zh-CN"/>
                </w:rPr>
                <m:t xml:space="preserve">= </m:t>
              </m:r>
            </m:oMath>
            <w:r>
              <w:rPr>
                <w:rFonts w:hint="eastAsia" w:hAnsi="Cambria Math"/>
                <w:i w:val="0"/>
                <w:szCs w:val="21"/>
                <w:u w:val="none"/>
                <w:lang w:val="en-US" w:eastAsia="zh-CN"/>
              </w:rPr>
              <w:t>0.9997，这也说明了拟合效果非常好。</w:t>
            </w:r>
          </w:p>
          <w:p>
            <w:pPr>
              <w:spacing w:line="360" w:lineRule="auto"/>
              <w:ind w:firstLine="420" w:firstLineChars="200"/>
              <w:jc w:val="left"/>
              <w:rPr>
                <w:rFonts w:hint="eastAsia" w:hAnsi="Cambria Math"/>
                <w:i w:val="0"/>
                <w:szCs w:val="21"/>
                <w:u w:val="none"/>
                <w:lang w:val="en-US" w:eastAsia="zh-CN"/>
              </w:rPr>
            </w:pPr>
            <w:r>
              <w:rPr>
                <w:rFonts w:hint="eastAsia" w:ascii="宋体" w:hAnsi="宋体"/>
                <w:szCs w:val="21"/>
                <w:u w:val="none"/>
                <w:lang w:val="en-US" w:eastAsia="zh-CN"/>
              </w:rPr>
              <w:t>分析图9，使用Python作出拟合曲线，可得曲线方程为y = 0.87x + 1.91，因此，把双臂接入应变片时，电桥的灵敏度约0.87mV/g，</w:t>
            </w:r>
            <w:r>
              <w:rPr>
                <w:rFonts w:hint="eastAsia" w:ascii="宋体" w:hAnsi="宋体"/>
                <w:b/>
                <w:bCs/>
                <w:szCs w:val="21"/>
                <w:u w:val="none"/>
                <w:lang w:val="en-US" w:eastAsia="zh-CN"/>
              </w:rPr>
              <w:t>约为单臂电桥灵敏度的2倍</w:t>
            </w:r>
            <w:r>
              <w:rPr>
                <w:rFonts w:hint="eastAsia" w:ascii="宋体" w:hAnsi="宋体"/>
                <w:szCs w:val="21"/>
                <w:u w:val="none"/>
                <w:lang w:val="en-US" w:eastAsia="zh-CN"/>
              </w:rPr>
              <w:t>。由图可以分析获得，零点误差为 2.1478mv，</w:t>
            </w:r>
            <m:oMath>
              <m:sSup>
                <m:sSupPr>
                  <m:ctrlPr>
                    <w:rPr>
                      <w:rFonts w:ascii="Cambria Math" w:hAnsi="Cambria Math"/>
                      <w:i/>
                      <w:szCs w:val="21"/>
                      <w:u w:val="none"/>
                      <w:lang w:val="en-US"/>
                    </w:rPr>
                  </m:ctrlPr>
                </m:sSupPr>
                <m:e>
                  <m:r>
                    <m:rPr/>
                    <w:rPr>
                      <w:rFonts w:hint="default" w:ascii="Cambria Math" w:hAnsi="Cambria Math"/>
                      <w:szCs w:val="21"/>
                      <w:u w:val="none"/>
                      <w:lang w:val="en-US" w:eastAsia="zh-CN"/>
                    </w:rPr>
                    <m:t>R</m:t>
                  </m:r>
                  <m:ctrlPr>
                    <w:rPr>
                      <w:rFonts w:ascii="Cambria Math" w:hAnsi="Cambria Math"/>
                      <w:i/>
                      <w:szCs w:val="21"/>
                      <w:u w:val="none"/>
                      <w:lang w:val="en-US"/>
                    </w:rPr>
                  </m:ctrlPr>
                </m:e>
                <m:sup>
                  <m:r>
                    <m:rPr/>
                    <w:rPr>
                      <w:rFonts w:hint="default" w:ascii="Cambria Math" w:hAnsi="Cambria Math"/>
                      <w:szCs w:val="21"/>
                      <w:u w:val="none"/>
                      <w:lang w:val="en-US" w:eastAsia="zh-CN"/>
                    </w:rPr>
                    <m:t>2</m:t>
                  </m:r>
                  <m:ctrlPr>
                    <w:rPr>
                      <w:rFonts w:ascii="Cambria Math" w:hAnsi="Cambria Math"/>
                      <w:i/>
                      <w:szCs w:val="21"/>
                      <w:u w:val="none"/>
                      <w:lang w:val="en-US"/>
                    </w:rPr>
                  </m:ctrlPr>
                </m:sup>
              </m:sSup>
              <m:r>
                <m:rPr/>
                <w:rPr>
                  <w:rFonts w:hint="default" w:ascii="Cambria Math" w:hAnsi="Cambria Math"/>
                  <w:szCs w:val="21"/>
                  <w:u w:val="none"/>
                  <w:lang w:val="en-US" w:eastAsia="zh-CN"/>
                </w:rPr>
                <m:t xml:space="preserve">= </m:t>
              </m:r>
            </m:oMath>
            <w:r>
              <w:rPr>
                <w:rFonts w:hint="eastAsia" w:hAnsi="Cambria Math"/>
                <w:i w:val="0"/>
                <w:szCs w:val="21"/>
                <w:u w:val="none"/>
                <w:lang w:val="en-US" w:eastAsia="zh-CN"/>
              </w:rPr>
              <w:t>0.9996，这也说明了拟合效果非常好。</w:t>
            </w:r>
          </w:p>
          <w:p>
            <w:pPr>
              <w:spacing w:line="360" w:lineRule="auto"/>
              <w:ind w:firstLine="420" w:firstLineChars="200"/>
              <w:jc w:val="left"/>
              <w:rPr>
                <w:rFonts w:hint="default" w:hAnsi="Cambria Math"/>
                <w:i w:val="0"/>
                <w:szCs w:val="21"/>
                <w:u w:val="none"/>
                <w:lang w:val="en-US" w:eastAsia="zh-CN"/>
              </w:rPr>
            </w:pPr>
            <w:r>
              <w:rPr>
                <w:rFonts w:hint="eastAsia" w:ascii="宋体" w:hAnsi="宋体"/>
                <w:szCs w:val="21"/>
                <w:u w:val="none"/>
                <w:lang w:val="en-US" w:eastAsia="zh-CN"/>
              </w:rPr>
              <w:t>分析图10，使用Python作出拟合曲线，可得曲线方程为y = 1.75x + 2.41，因此，把全臂接入应变片时，电桥的灵敏度约1.75mV/g，</w:t>
            </w:r>
            <w:r>
              <w:rPr>
                <w:rFonts w:hint="eastAsia" w:ascii="宋体" w:hAnsi="宋体"/>
                <w:b/>
                <w:bCs/>
                <w:szCs w:val="21"/>
                <w:u w:val="none"/>
                <w:lang w:val="en-US" w:eastAsia="zh-CN"/>
              </w:rPr>
              <w:t>约为单臂电桥灵敏度的4倍</w:t>
            </w:r>
            <w:r>
              <w:rPr>
                <w:rFonts w:hint="eastAsia" w:ascii="宋体" w:hAnsi="宋体"/>
                <w:szCs w:val="21"/>
                <w:u w:val="none"/>
                <w:lang w:val="en-US" w:eastAsia="zh-CN"/>
              </w:rPr>
              <w:t>。由图可以分析获得，零点误差为 1.975mv，</w:t>
            </w:r>
            <m:oMath>
              <m:sSup>
                <m:sSupPr>
                  <m:ctrlPr>
                    <w:rPr>
                      <w:rFonts w:ascii="Cambria Math" w:hAnsi="Cambria Math"/>
                      <w:i/>
                      <w:szCs w:val="21"/>
                      <w:u w:val="none"/>
                      <w:lang w:val="en-US"/>
                    </w:rPr>
                  </m:ctrlPr>
                </m:sSupPr>
                <m:e>
                  <m:r>
                    <m:rPr/>
                    <w:rPr>
                      <w:rFonts w:hint="default" w:ascii="Cambria Math" w:hAnsi="Cambria Math"/>
                      <w:szCs w:val="21"/>
                      <w:u w:val="none"/>
                      <w:lang w:val="en-US" w:eastAsia="zh-CN"/>
                    </w:rPr>
                    <m:t>R</m:t>
                  </m:r>
                  <m:ctrlPr>
                    <w:rPr>
                      <w:rFonts w:ascii="Cambria Math" w:hAnsi="Cambria Math"/>
                      <w:i/>
                      <w:szCs w:val="21"/>
                      <w:u w:val="none"/>
                      <w:lang w:val="en-US"/>
                    </w:rPr>
                  </m:ctrlPr>
                </m:e>
                <m:sup>
                  <m:r>
                    <m:rPr/>
                    <w:rPr>
                      <w:rFonts w:hint="default" w:ascii="Cambria Math" w:hAnsi="Cambria Math"/>
                      <w:szCs w:val="21"/>
                      <w:u w:val="none"/>
                      <w:lang w:val="en-US" w:eastAsia="zh-CN"/>
                    </w:rPr>
                    <m:t>2</m:t>
                  </m:r>
                  <m:ctrlPr>
                    <w:rPr>
                      <w:rFonts w:ascii="Cambria Math" w:hAnsi="Cambria Math"/>
                      <w:i/>
                      <w:szCs w:val="21"/>
                      <w:u w:val="none"/>
                      <w:lang w:val="en-US"/>
                    </w:rPr>
                  </m:ctrlPr>
                </m:sup>
              </m:sSup>
              <m:r>
                <m:rPr/>
                <w:rPr>
                  <w:rFonts w:hint="default" w:ascii="Cambria Math" w:hAnsi="Cambria Math"/>
                  <w:szCs w:val="21"/>
                  <w:u w:val="none"/>
                  <w:lang w:val="en-US" w:eastAsia="zh-CN"/>
                </w:rPr>
                <m:t xml:space="preserve">= </m:t>
              </m:r>
            </m:oMath>
            <w:r>
              <w:rPr>
                <w:rFonts w:hint="eastAsia" w:hAnsi="Cambria Math"/>
                <w:i w:val="0"/>
                <w:szCs w:val="21"/>
                <w:u w:val="none"/>
                <w:lang w:val="en-US" w:eastAsia="zh-CN"/>
              </w:rPr>
              <w:t>0.9998，这也说明了拟合效果非常好。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3" w:hRule="atLeast"/>
        </w:trPr>
        <w:tc>
          <w:tcPr>
            <w:tcW w:w="9720" w:type="dxa"/>
            <w:noWrap w:val="0"/>
            <w:vAlign w:val="top"/>
          </w:tcPr>
          <w:p>
            <w:pPr>
              <w:numPr>
                <w:ilvl w:val="0"/>
                <w:numId w:val="1"/>
              </w:num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结果陈述</w:t>
            </w:r>
          </w:p>
          <w:p>
            <w:pPr>
              <w:numPr>
                <w:ilvl w:val="0"/>
                <w:numId w:val="2"/>
              </w:numPr>
              <w:spacing w:line="360" w:lineRule="auto"/>
              <w:ind w:left="240" w:leftChars="0" w:firstLine="0" w:firstLineChars="0"/>
              <w:rPr>
                <w:rFonts w:hint="eastAsia" w:ascii="宋体" w:hAnsi="宋体"/>
                <w:szCs w:val="21"/>
                <w:u w:val="none"/>
                <w:lang w:val="en-US" w:eastAsia="zh-CN"/>
              </w:rPr>
            </w:pPr>
            <w:r>
              <w:rPr>
                <w:rFonts w:hint="eastAsia" w:ascii="宋体" w:hAnsi="宋体"/>
                <w:szCs w:val="21"/>
                <w:u w:val="none"/>
                <w:lang w:val="en-US" w:eastAsia="zh-CN"/>
              </w:rPr>
              <w:t>只把单臂接入应变片时，电桥的灵敏度约0.43mV/g；把双臂接入应变片时，电桥的灵敏度约0.87mV/g；把全臂接入应变片时，电桥的灵敏度约1.75mV/g。</w:t>
            </w:r>
          </w:p>
          <w:p>
            <w:pPr>
              <w:numPr>
                <w:ilvl w:val="0"/>
                <w:numId w:val="2"/>
              </w:numPr>
              <w:spacing w:line="360" w:lineRule="auto"/>
              <w:ind w:left="240" w:leftChars="0" w:firstLine="0" w:firstLineChars="0"/>
              <w:rPr>
                <w:rFonts w:hint="eastAsia" w:ascii="宋体" w:hAnsi="宋体"/>
                <w:szCs w:val="21"/>
                <w:u w:val="none"/>
                <w:lang w:val="en-US" w:eastAsia="zh-CN"/>
              </w:rPr>
            </w:pPr>
            <w:r>
              <w:rPr>
                <w:rFonts w:hint="eastAsia" w:ascii="宋体" w:hAnsi="宋体"/>
                <w:szCs w:val="21"/>
                <w:u w:val="none"/>
                <w:lang w:val="en-US" w:eastAsia="zh-CN"/>
              </w:rPr>
              <w:t>把双臂接入应变片时，电桥的灵敏度</w:t>
            </w:r>
            <w:r>
              <w:rPr>
                <w:rFonts w:hint="eastAsia" w:ascii="宋体" w:hAnsi="宋体"/>
                <w:b/>
                <w:bCs/>
                <w:szCs w:val="21"/>
                <w:u w:val="none"/>
                <w:lang w:val="en-US" w:eastAsia="zh-CN"/>
              </w:rPr>
              <w:t>约为单臂电桥灵敏度的2倍；</w:t>
            </w:r>
            <w:r>
              <w:rPr>
                <w:rFonts w:hint="eastAsia" w:ascii="宋体" w:hAnsi="宋体"/>
                <w:szCs w:val="21"/>
                <w:u w:val="none"/>
                <w:lang w:val="en-US" w:eastAsia="zh-CN"/>
              </w:rPr>
              <w:t>把全臂接入应变片时，电桥的灵敏度</w:t>
            </w:r>
            <w:r>
              <w:rPr>
                <w:rFonts w:hint="eastAsia" w:ascii="宋体" w:hAnsi="宋体"/>
                <w:b/>
                <w:bCs/>
                <w:szCs w:val="21"/>
                <w:u w:val="none"/>
                <w:lang w:val="en-US" w:eastAsia="zh-CN"/>
              </w:rPr>
              <w:t>约为单臂电桥灵敏度的4倍。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noWrap w:val="0"/>
            <w:vAlign w:val="top"/>
          </w:tcPr>
          <w:p>
            <w:pPr>
              <w:rPr>
                <w:rFonts w:hint="eastAsia" w:eastAsia="黑体"/>
                <w:b/>
                <w:sz w:val="24"/>
              </w:rPr>
            </w:pPr>
            <w:r>
              <w:rPr>
                <w:rFonts w:hint="eastAsia" w:eastAsia="黑体"/>
                <w:b/>
                <w:sz w:val="24"/>
              </w:rPr>
              <w:t>八、实验总结与思考题</w:t>
            </w:r>
          </w:p>
          <w:p>
            <w:pPr>
              <w:rPr>
                <w:rFonts w:hint="eastAsia" w:eastAsia="黑体"/>
                <w:b/>
                <w:sz w:val="24"/>
              </w:rPr>
            </w:pPr>
          </w:p>
          <w:p>
            <w:pPr>
              <w:rPr>
                <w:rFonts w:hint="eastAsia" w:ascii="宋体" w:hAnsi="宋体" w:eastAsia="宋体" w:cs="宋体"/>
                <w:b w:val="0"/>
                <w:bCs/>
                <w:sz w:val="21"/>
                <w:szCs w:val="21"/>
                <w:lang w:val="en-US" w:eastAsia="zh-CN"/>
              </w:rPr>
            </w:pPr>
            <w:r>
              <w:rPr>
                <w:rFonts w:hint="eastAsia" w:eastAsia="黑体"/>
                <w:b/>
                <w:sz w:val="24"/>
                <w:lang w:val="en-US" w:eastAsia="zh-CN"/>
              </w:rPr>
              <w:t xml:space="preserve">  </w:t>
            </w:r>
            <w:r>
              <w:rPr>
                <w:rFonts w:hint="eastAsia" w:ascii="宋体" w:hAnsi="宋体" w:eastAsia="宋体" w:cs="宋体"/>
                <w:b w:val="0"/>
                <w:bCs/>
                <w:sz w:val="21"/>
                <w:szCs w:val="21"/>
                <w:lang w:val="en-US" w:eastAsia="zh-CN"/>
              </w:rPr>
              <w:t xml:space="preserve"> 1、分析哪些因素会导致电子秤的非线性误差增大，怎么消除；</w:t>
            </w:r>
          </w:p>
          <w:p>
            <w:pP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答：</w:t>
            </w:r>
            <w:r>
              <w:rPr>
                <w:rFonts w:hint="eastAsia" w:ascii="宋体" w:hAnsi="宋体" w:eastAsia="宋体" w:cs="宋体"/>
                <w:b/>
                <w:bCs w:val="0"/>
                <w:sz w:val="21"/>
                <w:szCs w:val="21"/>
                <w:lang w:val="en-US" w:eastAsia="zh-CN"/>
              </w:rPr>
              <w:t>环境因素</w:t>
            </w:r>
            <w:r>
              <w:rPr>
                <w:rFonts w:hint="eastAsia" w:ascii="宋体" w:hAnsi="宋体" w:eastAsia="宋体" w:cs="宋体"/>
                <w:b w:val="0"/>
                <w:bCs/>
                <w:sz w:val="21"/>
                <w:szCs w:val="21"/>
                <w:lang w:val="en-US" w:eastAsia="zh-CN"/>
              </w:rPr>
              <w:t>和</w:t>
            </w:r>
            <w:r>
              <w:rPr>
                <w:rFonts w:hint="eastAsia" w:ascii="宋体" w:hAnsi="宋体" w:eastAsia="宋体" w:cs="宋体"/>
                <w:b/>
                <w:bCs w:val="0"/>
                <w:sz w:val="21"/>
                <w:szCs w:val="21"/>
                <w:lang w:val="en-US" w:eastAsia="zh-CN"/>
              </w:rPr>
              <w:t>实验器材的校正不准</w:t>
            </w:r>
            <w:r>
              <w:rPr>
                <w:rFonts w:hint="eastAsia" w:ascii="宋体" w:hAnsi="宋体" w:eastAsia="宋体" w:cs="宋体"/>
                <w:b w:val="0"/>
                <w:bCs/>
                <w:sz w:val="21"/>
                <w:szCs w:val="21"/>
                <w:lang w:val="en-US" w:eastAsia="zh-CN"/>
              </w:rPr>
              <w:t xml:space="preserve">会导致非线性误差增大。 </w:t>
            </w:r>
          </w:p>
          <w:p>
            <w:p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消除措施：</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1</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多次校正：通过反复校正电子秤，可以减小甚至是消除由于环境因素和实验器材校正不准确导致的非线性误差。</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2</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调整变位器：如果电子秤的力臂出现变形，可以通过调节变位器来减小误差。</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3</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 xml:space="preserve"> 使用软件补偿：非线性自动校正技术可以通过嵌入式软件来实现，这种软件补偿方法不在乎系统部分的非线性特性，只需要确保系统的输入/输出具有重复性。这种方法可以充分发挥微控制器的信息处理能力，提升测量准确度和精度，同时简化系统结构，降低制造成本。</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4</w:t>
            </w:r>
            <w:r>
              <w:rPr>
                <w:rFonts w:hint="eastAsia" w:ascii="宋体" w:hAnsi="宋体" w:cs="宋体"/>
                <w:b w:val="0"/>
                <w:bCs/>
                <w:sz w:val="21"/>
                <w:szCs w:val="21"/>
                <w:lang w:val="en-US" w:eastAsia="zh-CN"/>
              </w:rPr>
              <w:t xml:space="preserve">） </w:t>
            </w:r>
            <w:r>
              <w:rPr>
                <w:rFonts w:hint="default" w:ascii="宋体" w:hAnsi="宋体" w:cs="宋体"/>
                <w:b w:val="0"/>
                <w:bCs/>
                <w:sz w:val="21"/>
                <w:szCs w:val="21"/>
                <w:lang w:val="en-US" w:eastAsia="zh-CN"/>
              </w:rPr>
              <w:t>分段校准：对于传感器称量线性变化较大的情况，可以进行分段校准，即对电子秤的不同称量段进行单独校准，以减小相对误差。</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5</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 xml:space="preserve"> 调整电位器：为了减小四角偏载误差，可以通过调整连接在每个传感器支路上的电位器阻值，利用不同电阻的分压不同，平衡各支路的信号输出。</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6</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 xml:space="preserve"> 处理零点漂移：如果电子秤在使用过程中出现零点漂移，需要检查传感器是否因多次往复冲击载荷而改变触点，必要时进行调整或更换传感器。</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7</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 xml:space="preserve"> 清洁称重台：确保称重台干净无擦靠，以免影响传感器的准确性。</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8</w:t>
            </w:r>
            <w:r>
              <w:rPr>
                <w:rFonts w:hint="eastAsia" w:ascii="宋体" w:hAnsi="宋体" w:cs="宋体"/>
                <w:b w:val="0"/>
                <w:bCs/>
                <w:sz w:val="21"/>
                <w:szCs w:val="21"/>
                <w:lang w:val="en-US" w:eastAsia="zh-CN"/>
              </w:rPr>
              <w:t xml:space="preserve">） </w:t>
            </w:r>
            <w:r>
              <w:rPr>
                <w:rFonts w:hint="default" w:ascii="宋体" w:hAnsi="宋体" w:cs="宋体"/>
                <w:b w:val="0"/>
                <w:bCs/>
                <w:sz w:val="21"/>
                <w:szCs w:val="21"/>
                <w:lang w:val="en-US" w:eastAsia="zh-CN"/>
              </w:rPr>
              <w:t>环境控制：保持电子秤使用环境的稳定，避免温差、湿度等因素影响传感器的性能。</w:t>
            </w:r>
          </w:p>
          <w:p>
            <w:pPr>
              <w:numPr>
                <w:ilvl w:val="0"/>
                <w:numId w:val="3"/>
              </w:numPr>
              <w:ind w:left="315" w:leftChars="0" w:firstLine="0"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若要增加输出灵敏度，可以采取哪些措施？</w:t>
            </w:r>
          </w:p>
          <w:p>
            <w:pPr>
              <w:numPr>
                <w:ilvl w:val="0"/>
                <w:numId w:val="0"/>
              </w:numPr>
              <w:ind w:left="315"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答：</w:t>
            </w:r>
          </w:p>
          <w:p>
            <w:pPr>
              <w:numPr>
                <w:ilvl w:val="0"/>
                <w:numId w:val="0"/>
              </w:numPr>
              <w:ind w:left="315"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1）</w:t>
            </w:r>
            <w:r>
              <w:rPr>
                <w:rFonts w:hint="eastAsia" w:ascii="宋体" w:hAnsi="宋体" w:eastAsia="宋体" w:cs="宋体"/>
                <w:b w:val="0"/>
                <w:bCs/>
                <w:sz w:val="21"/>
                <w:szCs w:val="21"/>
                <w:lang w:val="en-US" w:eastAsia="zh-CN"/>
              </w:rPr>
              <w:t>若要增加输出灵敏度可增加相形放大电路</w:t>
            </w:r>
            <w:r>
              <w:rPr>
                <w:rFonts w:hint="eastAsia" w:ascii="宋体" w:hAnsi="宋体" w:cs="宋体"/>
                <w:b w:val="0"/>
                <w:bCs/>
                <w:sz w:val="21"/>
                <w:szCs w:val="21"/>
                <w:lang w:val="en-US" w:eastAsia="zh-CN"/>
              </w:rPr>
              <w:t xml:space="preserve">；  </w:t>
            </w:r>
          </w:p>
          <w:p>
            <w:pPr>
              <w:numPr>
                <w:ilvl w:val="0"/>
                <w:numId w:val="0"/>
              </w:numPr>
              <w:ind w:left="315"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2） 选择高精度传感器：使用高精度、高灵敏度的称重传感器，以提高整体测量系统的灵敏度。</w:t>
            </w:r>
          </w:p>
          <w:p>
            <w:pPr>
              <w:numPr>
                <w:ilvl w:val="0"/>
                <w:numId w:val="0"/>
              </w:numPr>
              <w:ind w:left="315" w:leftChars="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3）优化电路设计：改进电子秤的电路设计，例如采用高精度、低温漂的电阻和放大器，确保信号稳定且准确放大。</w:t>
            </w:r>
          </w:p>
          <w:p>
            <w:pPr>
              <w:rPr>
                <w:rFonts w:hint="default" w:eastAsia="黑体"/>
                <w:b/>
                <w:sz w:val="24"/>
                <w:lang w:val="en-US" w:eastAsia="zh-CN"/>
              </w:rPr>
            </w:pPr>
          </w:p>
          <w:p>
            <w:pPr>
              <w:rPr>
                <w:rFonts w:hint="eastAsia" w:eastAsia="黑体"/>
                <w:b/>
                <w:sz w:val="24"/>
              </w:rPr>
            </w:pPr>
          </w:p>
          <w:p>
            <w:pPr>
              <w:rPr>
                <w:rFonts w:hint="eastAsia" w:eastAsia="黑体"/>
                <w:b/>
                <w:sz w:val="24"/>
              </w:rPr>
            </w:pPr>
          </w:p>
          <w:p>
            <w:pPr>
              <w:rPr>
                <w:rFonts w:hint="eastAsia" w:eastAsia="黑体"/>
                <w:b/>
                <w:sz w:val="24"/>
              </w:rPr>
            </w:pPr>
          </w:p>
          <w:p>
            <w:pPr>
              <w:rPr>
                <w:rFonts w:eastAsia="黑体"/>
                <w:b/>
                <w:sz w:val="24"/>
              </w:rPr>
            </w:pPr>
          </w:p>
          <w:p>
            <w:pPr>
              <w:rPr>
                <w:rFonts w:hint="eastAsia"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hint="eastAsia" w:eastAsia="黑体"/>
                <w:b/>
                <w:sz w:val="24"/>
              </w:rPr>
            </w:pPr>
          </w:p>
          <w:p>
            <w:pPr>
              <w:rPr>
                <w:rFonts w:hint="eastAsia" w:eastAsia="黑体"/>
                <w:b/>
                <w:sz w:val="24"/>
              </w:rPr>
            </w:pPr>
          </w:p>
          <w:p>
            <w:pPr>
              <w:rPr>
                <w:rFonts w:hint="eastAsia" w:eastAsia="黑体"/>
                <w:b/>
                <w:sz w:val="24"/>
              </w:rPr>
            </w:pPr>
          </w:p>
          <w:p>
            <w:pPr>
              <w:rPr>
                <w:rFonts w:hint="eastAsia" w:eastAsia="黑体"/>
                <w:b/>
                <w:sz w:val="24"/>
              </w:rPr>
            </w:pPr>
          </w:p>
          <w:p>
            <w:pPr>
              <w:rPr>
                <w:rFonts w:hint="eastAsia"/>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720" w:type="dxa"/>
            <w:noWrap w:val="0"/>
            <w:vAlign w:val="top"/>
          </w:tcPr>
          <w:p>
            <w:pPr>
              <w:rPr>
                <w:rFonts w:hint="eastAsia"/>
              </w:rPr>
            </w:pPr>
            <w:r>
              <w:rPr>
                <w:rFonts w:hint="eastAsia"/>
              </w:rPr>
              <w:t>指导教师批阅意见：</w:t>
            </w:r>
          </w:p>
          <w:p>
            <w:pPr>
              <w:ind w:firstLine="312" w:firstLineChars="149"/>
              <w:rPr>
                <w:rFonts w:ascii="黑体" w:eastAsia="黑体"/>
                <w:color w:val="FF0000"/>
                <w:szCs w:val="21"/>
              </w:rPr>
            </w:pPr>
          </w:p>
          <w:p>
            <w:pPr>
              <w:ind w:firstLine="312" w:firstLineChars="149"/>
              <w:rPr>
                <w:rFonts w:hint="eastAsia" w:ascii="黑体" w:eastAsia="黑体"/>
                <w:color w:val="FF0000"/>
                <w:szCs w:val="21"/>
              </w:rPr>
            </w:pPr>
          </w:p>
          <w:p>
            <w:pPr>
              <w:ind w:firstLine="312" w:firstLineChars="149"/>
              <w:rPr>
                <w:rFonts w:hint="eastAsia" w:ascii="黑体" w:eastAsia="黑体"/>
                <w:color w:val="FF0000"/>
                <w:szCs w:val="21"/>
              </w:rPr>
            </w:pPr>
          </w:p>
          <w:p>
            <w:pPr>
              <w:ind w:firstLine="312" w:firstLineChars="149"/>
              <w:rPr>
                <w:rFonts w:ascii="黑体" w:eastAsia="黑体"/>
                <w:color w:val="FF0000"/>
                <w:szCs w:val="21"/>
              </w:rPr>
            </w:pPr>
          </w:p>
          <w:p>
            <w:pPr>
              <w:ind w:firstLine="312" w:firstLineChars="149"/>
              <w:rPr>
                <w:rFonts w:hint="eastAsia"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8" w:hRule="atLeast"/>
        </w:trPr>
        <w:tc>
          <w:tcPr>
            <w:tcW w:w="9720" w:type="dxa"/>
            <w:noWrap w:val="0"/>
            <w:vAlign w:val="top"/>
          </w:tcPr>
          <w:p>
            <w:r>
              <w:rPr>
                <w:rFonts w:hint="eastAsia"/>
              </w:rPr>
              <w:t>成绩评定：</w:t>
            </w:r>
          </w:p>
          <w:p>
            <w:pPr>
              <w:rPr>
                <w:rFonts w:hint="eastAsia"/>
              </w:rPr>
            </w:pPr>
            <w:r>
              <w:rPr>
                <w:rFonts w:hint="eastAsia"/>
              </w:rPr>
              <w:t xml:space="preserve">                                                                                             </w:t>
            </w:r>
          </w:p>
          <w:tbl>
            <w:tblPr>
              <w:tblStyle w:val="5"/>
              <w:tblW w:w="8610"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2520"/>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noWrap w:val="0"/>
                  <w:vAlign w:val="center"/>
                </w:tcPr>
                <w:p>
                  <w:pPr>
                    <w:jc w:val="center"/>
                    <w:rPr>
                      <w:rFonts w:hint="eastAsia"/>
                      <w:b/>
                      <w:sz w:val="18"/>
                      <w:szCs w:val="18"/>
                    </w:rPr>
                  </w:pPr>
                  <w:r>
                    <w:rPr>
                      <w:rFonts w:hint="eastAsia"/>
                      <w:b/>
                      <w:sz w:val="18"/>
                      <w:szCs w:val="18"/>
                    </w:rPr>
                    <w:t>预习</w:t>
                  </w:r>
                </w:p>
                <w:p>
                  <w:pPr>
                    <w:jc w:val="center"/>
                    <w:rPr>
                      <w:rFonts w:hint="eastAsia"/>
                      <w:sz w:val="18"/>
                      <w:szCs w:val="18"/>
                    </w:rPr>
                  </w:pPr>
                  <w:r>
                    <w:rPr>
                      <w:rFonts w:hint="eastAsia"/>
                      <w:sz w:val="18"/>
                      <w:szCs w:val="18"/>
                    </w:rPr>
                    <w:t>（20分）</w:t>
                  </w:r>
                </w:p>
              </w:tc>
              <w:tc>
                <w:tcPr>
                  <w:tcW w:w="1260" w:type="dxa"/>
                  <w:noWrap w:val="0"/>
                  <w:vAlign w:val="center"/>
                </w:tcPr>
                <w:p>
                  <w:pPr>
                    <w:jc w:val="center"/>
                    <w:rPr>
                      <w:rFonts w:hint="eastAsia"/>
                      <w:b/>
                      <w:sz w:val="18"/>
                      <w:szCs w:val="18"/>
                    </w:rPr>
                  </w:pPr>
                  <w:r>
                    <w:rPr>
                      <w:rFonts w:hint="eastAsia"/>
                      <w:b/>
                      <w:sz w:val="18"/>
                      <w:szCs w:val="18"/>
                    </w:rPr>
                    <w:t>操作及记录</w:t>
                  </w:r>
                </w:p>
                <w:p>
                  <w:pPr>
                    <w:jc w:val="center"/>
                    <w:rPr>
                      <w:rFonts w:hint="eastAsia"/>
                      <w:sz w:val="18"/>
                      <w:szCs w:val="18"/>
                    </w:rPr>
                  </w:pPr>
                  <w:r>
                    <w:rPr>
                      <w:rFonts w:hint="eastAsia"/>
                      <w:sz w:val="18"/>
                      <w:szCs w:val="18"/>
                    </w:rPr>
                    <w:t>（40分）</w:t>
                  </w:r>
                </w:p>
              </w:tc>
              <w:tc>
                <w:tcPr>
                  <w:tcW w:w="2520" w:type="dxa"/>
                  <w:tcBorders>
                    <w:bottom w:val="nil"/>
                    <w:right w:val="single" w:color="auto" w:sz="4" w:space="0"/>
                  </w:tcBorders>
                  <w:noWrap w:val="0"/>
                  <w:vAlign w:val="center"/>
                </w:tcPr>
                <w:p>
                  <w:pPr>
                    <w:rPr>
                      <w:rFonts w:hint="eastAsia"/>
                      <w:sz w:val="18"/>
                      <w:szCs w:val="18"/>
                    </w:rPr>
                  </w:pPr>
                  <w:r>
                    <w:rPr>
                      <w:rFonts w:hint="eastAsia"/>
                      <w:sz w:val="18"/>
                      <w:szCs w:val="18"/>
                    </w:rPr>
                    <w:t>数据处理与结果陈述30分</w:t>
                  </w:r>
                </w:p>
              </w:tc>
              <w:tc>
                <w:tcPr>
                  <w:tcW w:w="1080" w:type="dxa"/>
                  <w:tcBorders>
                    <w:bottom w:val="nil"/>
                    <w:right w:val="single" w:color="auto" w:sz="4" w:space="0"/>
                  </w:tcBorders>
                  <w:noWrap w:val="0"/>
                  <w:vAlign w:val="top"/>
                </w:tcPr>
                <w:p>
                  <w:pPr>
                    <w:ind w:firstLine="180" w:firstLineChars="100"/>
                    <w:rPr>
                      <w:rFonts w:hint="eastAsia"/>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noWrap w:val="0"/>
                  <w:vAlign w:val="center"/>
                </w:tcPr>
                <w:p>
                  <w:pPr>
                    <w:jc w:val="center"/>
                    <w:rPr>
                      <w:rFonts w:hint="eastAsia"/>
                      <w:b/>
                      <w:sz w:val="18"/>
                      <w:szCs w:val="18"/>
                    </w:rPr>
                  </w:pPr>
                  <w:r>
                    <w:rPr>
                      <w:rFonts w:hint="eastAsia"/>
                      <w:b/>
                      <w:sz w:val="18"/>
                      <w:szCs w:val="18"/>
                    </w:rPr>
                    <w:t>报告整体</w:t>
                  </w:r>
                </w:p>
                <w:p>
                  <w:pPr>
                    <w:jc w:val="center"/>
                    <w:rPr>
                      <w:rFonts w:hint="eastAsia"/>
                      <w:b/>
                      <w:sz w:val="18"/>
                      <w:szCs w:val="18"/>
                    </w:rPr>
                  </w:pPr>
                  <w:r>
                    <w:rPr>
                      <w:rFonts w:hint="eastAsia"/>
                      <w:b/>
                      <w:sz w:val="18"/>
                      <w:szCs w:val="18"/>
                    </w:rPr>
                    <w:t>印 象</w:t>
                  </w:r>
                </w:p>
              </w:tc>
              <w:tc>
                <w:tcPr>
                  <w:tcW w:w="1260" w:type="dxa"/>
                  <w:tcBorders>
                    <w:top w:val="single" w:color="auto" w:sz="4" w:space="0"/>
                    <w:right w:val="single" w:color="auto" w:sz="4" w:space="0"/>
                  </w:tcBorders>
                  <w:noWrap w:val="0"/>
                  <w:vAlign w:val="center"/>
                </w:tcPr>
                <w:p>
                  <w:pPr>
                    <w:jc w:val="center"/>
                    <w:rPr>
                      <w:rFonts w:hint="eastAsia"/>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noWrap w:val="0"/>
                  <w:vAlign w:val="top"/>
                </w:tcPr>
                <w:p>
                  <w:pPr>
                    <w:jc w:val="center"/>
                    <w:rPr>
                      <w:rFonts w:hint="eastAsia"/>
                      <w:sz w:val="18"/>
                      <w:szCs w:val="18"/>
                    </w:rPr>
                  </w:pPr>
                </w:p>
              </w:tc>
              <w:tc>
                <w:tcPr>
                  <w:tcW w:w="1260" w:type="dxa"/>
                  <w:noWrap w:val="0"/>
                  <w:vAlign w:val="top"/>
                </w:tcPr>
                <w:p>
                  <w:pPr>
                    <w:jc w:val="center"/>
                    <w:rPr>
                      <w:rFonts w:hint="eastAsia"/>
                      <w:sz w:val="18"/>
                      <w:szCs w:val="18"/>
                    </w:rPr>
                  </w:pPr>
                </w:p>
              </w:tc>
              <w:tc>
                <w:tcPr>
                  <w:tcW w:w="2520" w:type="dxa"/>
                  <w:tcBorders>
                    <w:right w:val="nil"/>
                  </w:tcBorders>
                  <w:noWrap w:val="0"/>
                  <w:vAlign w:val="top"/>
                </w:tcPr>
                <w:p>
                  <w:pPr>
                    <w:jc w:val="center"/>
                    <w:rPr>
                      <w:rFonts w:hint="eastAsia"/>
                      <w:sz w:val="18"/>
                      <w:szCs w:val="18"/>
                    </w:rPr>
                  </w:pPr>
                </w:p>
              </w:tc>
              <w:tc>
                <w:tcPr>
                  <w:tcW w:w="1080" w:type="dxa"/>
                  <w:tcBorders>
                    <w:right w:val="single" w:color="auto" w:sz="4" w:space="0"/>
                  </w:tcBorders>
                  <w:noWrap w:val="0"/>
                  <w:vAlign w:val="top"/>
                </w:tcPr>
                <w:p>
                  <w:pPr>
                    <w:jc w:val="center"/>
                    <w:rPr>
                      <w:rFonts w:hint="eastAsia"/>
                      <w:sz w:val="18"/>
                      <w:szCs w:val="18"/>
                    </w:rPr>
                  </w:pPr>
                </w:p>
              </w:tc>
              <w:tc>
                <w:tcPr>
                  <w:tcW w:w="1620" w:type="dxa"/>
                  <w:tcBorders>
                    <w:left w:val="single" w:color="auto" w:sz="4" w:space="0"/>
                  </w:tcBorders>
                  <w:noWrap w:val="0"/>
                  <w:vAlign w:val="top"/>
                </w:tcPr>
                <w:p>
                  <w:pPr>
                    <w:jc w:val="center"/>
                    <w:rPr>
                      <w:rFonts w:hint="eastAsia"/>
                      <w:sz w:val="18"/>
                      <w:szCs w:val="18"/>
                    </w:rPr>
                  </w:pPr>
                </w:p>
              </w:tc>
              <w:tc>
                <w:tcPr>
                  <w:tcW w:w="1260" w:type="dxa"/>
                  <w:tcBorders>
                    <w:left w:val="single" w:color="auto" w:sz="4" w:space="0"/>
                  </w:tcBorders>
                  <w:noWrap w:val="0"/>
                  <w:vAlign w:val="top"/>
                </w:tcPr>
                <w:p>
                  <w:pPr>
                    <w:jc w:val="center"/>
                    <w:rPr>
                      <w:rFonts w:hint="eastAsia"/>
                      <w:sz w:val="18"/>
                      <w:szCs w:val="18"/>
                    </w:rPr>
                  </w:pPr>
                </w:p>
              </w:tc>
            </w:tr>
          </w:tbl>
          <w:p>
            <w:pPr>
              <w:rPr>
                <w:rFonts w:hint="eastAsia"/>
              </w:rPr>
            </w:pPr>
          </w:p>
        </w:tc>
      </w:tr>
    </w:tbl>
    <w:p>
      <w:pPr>
        <w:rPr>
          <w:rFonts w:hint="eastAsia"/>
        </w:rPr>
      </w:pPr>
    </w:p>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41061"/>
    <w:multiLevelType w:val="singleLevel"/>
    <w:tmpl w:val="8DB41061"/>
    <w:lvl w:ilvl="0" w:tentative="0">
      <w:start w:val="2"/>
      <w:numFmt w:val="decimal"/>
      <w:suff w:val="nothing"/>
      <w:lvlText w:val="%1、"/>
      <w:lvlJc w:val="left"/>
      <w:pPr>
        <w:ind w:left="315" w:leftChars="0" w:firstLine="0" w:firstLineChars="0"/>
      </w:pPr>
    </w:lvl>
  </w:abstractNum>
  <w:abstractNum w:abstractNumId="1">
    <w:nsid w:val="441D34A5"/>
    <w:multiLevelType w:val="singleLevel"/>
    <w:tmpl w:val="441D34A5"/>
    <w:lvl w:ilvl="0" w:tentative="0">
      <w:start w:val="7"/>
      <w:numFmt w:val="chineseCounting"/>
      <w:suff w:val="nothing"/>
      <w:lvlText w:val="%1、"/>
      <w:lvlJc w:val="left"/>
      <w:rPr>
        <w:rFonts w:hint="eastAsia"/>
      </w:rPr>
    </w:lvl>
  </w:abstractNum>
  <w:abstractNum w:abstractNumId="2">
    <w:nsid w:val="76CAD1B3"/>
    <w:multiLevelType w:val="singleLevel"/>
    <w:tmpl w:val="76CAD1B3"/>
    <w:lvl w:ilvl="0" w:tentative="0">
      <w:start w:val="1"/>
      <w:numFmt w:val="decimal"/>
      <w:suff w:val="nothing"/>
      <w:lvlText w:val="%1）"/>
      <w:lvlJc w:val="left"/>
      <w:pPr>
        <w:ind w:left="24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2OGE1OWU0NzdhMzM2NDFkZWRkYWUzMmMxMzBiZWEifQ=="/>
  </w:docVars>
  <w:rsids>
    <w:rsidRoot w:val="00000000"/>
    <w:rsid w:val="21B25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paragraph" w:customStyle="1" w:styleId="8">
    <w:name w:val=" Char"/>
    <w:basedOn w:val="1"/>
    <w:autoRedefine/>
    <w:qFormat/>
    <w:uiPriority w:val="0"/>
    <w:pPr>
      <w:tabs>
        <w:tab w:val="left" w:pos="432"/>
      </w:tabs>
      <w:spacing w:before="50" w:beforeLines="50" w:after="50" w:afterLines="50"/>
      <w:ind w:left="432" w:hanging="432"/>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2024-05-14T04:43:57Z</dcterms:created>
  <dc:creator>詹耿羽</dc:creator>
  <cp:lastModifiedBy>e°</cp:lastModifiedBy>
  <dcterms:modified xsi:type="dcterms:W3CDTF">2024-05-14T04:44:32Z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F41927CB2CE74430AF51D715FD1659E5_12</vt:lpwstr>
  </property>
</Properties>
</file>