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EE8DA">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pacing w:val="50"/>
          <w:sz w:val="56"/>
        </w:rPr>
        <w:t>科技馆教育活动研究</w:t>
      </w:r>
    </w:p>
    <w:p w14:paraId="41A9D9F6">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spacing w:val="20"/>
          <w:sz w:val="28"/>
        </w:rPr>
      </w:pPr>
      <w:r>
        <w:rPr>
          <w:rFonts w:hint="eastAsia" w:ascii="宋体" w:hAnsi="宋体" w:eastAsia="宋体" w:cs="宋体"/>
          <w:color w:val="auto"/>
          <w:spacing w:val="20"/>
          <w:sz w:val="28"/>
        </w:rPr>
        <w:t>——基于学习科学的理论建构与实践创新</w:t>
      </w:r>
    </w:p>
    <w:p w14:paraId="572C95CC">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spacing w:val="20"/>
          <w:sz w:val="28"/>
        </w:rPr>
      </w:pPr>
    </w:p>
    <w:p w14:paraId="0967436E">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36"/>
        </w:rPr>
        <w:t>摘  要</w:t>
      </w:r>
    </w:p>
    <w:p w14:paraId="18092A6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科技馆作为非正规科学教育的核心场域，承担着提升公众科学素养、激发科学兴趣、培养创新人才的重要使命。在新时代教育改革的背景下，科技馆教育活动的理论建构与实践创新成为科学教育研究领域的重要议题。本研究以学习科学为理论基石，系统整合建构主义学习理论、情境认知理论、探究式学习理论以及认知心理学理论，构建科技馆教育活动的理论分析框架，并在此基础上开展实证研究，探索科技馆教育活动的优化路径与政策保障机制。</w:t>
      </w:r>
    </w:p>
    <w:p w14:paraId="6890EF3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研究采用混合研究方法，综合运用纵向追踪研究、准实验设计、问卷调查与深度访谈等多种方法，选取多个代表性科技馆作为研究场域，对教育活动的设计、实施与效果进行系统性考察。理论层面，本研究深入分析了建构主义学习理论与科技馆教育实践的对接机制，构建了"情境-探究-建构"三位一体的理论模型；将认知心理学的具身认知理论、信息加工理论、图式理论融入教育活动设计，提出"四维五步"（ACPRE）教育活动设计模型；情境认知理论在科技馆教育活动中的应用框架；以及基于学习科学的科技馆教育活动分类体系。方法层面，研究建立了标准化的学习成效评估工具，开发了适用于科技馆教育活动的多维度评估量表，并通过纵向追踪研究验证了教育活动的长期效果。实践层面，研究重点探讨了基于展品的教育活动开发、馆校合作长效机制构建、数字化教育资源开发以及家庭学习场景设计四个维度的创新策略。政策层面，研究提出了完善科技馆功能配置标准、推动各级科技馆差异化发展的政策建议。</w:t>
      </w:r>
    </w:p>
    <w:p w14:paraId="749ADDB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研究结果表明：（1）基于"情境-探究-建构"理论模型设计的教育活动显著提升了参与者的科学素养，实验组在后测中的科学概念理解得分较对照组高出23.5%；（2）纵向追踪数据显示，教育活动的效果具有持续性，三个月后参与者的科学兴趣水平仍显著高于基线水平；（3）馆校合作模式能够有效拓展科技馆教育的覆盖面，采用"三阶段学习模型"的学校中，学生的科学探究能力提升了31.2%；（4）数字化教育资源的合理运用能够显著增强教育活动效果，混合式学习模式下的知识保持率比纯线下模式高出18.7%。</w:t>
      </w:r>
    </w:p>
    <w:p w14:paraId="6D72E35A">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eastAsia" w:ascii="宋体" w:hAnsi="宋体" w:eastAsia="宋体" w:cs="宋体"/>
          <w:color w:val="auto"/>
        </w:rPr>
      </w:pPr>
      <w:r>
        <w:rPr>
          <w:rFonts w:hint="eastAsia" w:ascii="宋体" w:hAnsi="宋体" w:eastAsia="宋体" w:cs="宋体"/>
          <w:b/>
          <w:color w:val="auto"/>
        </w:rPr>
        <w:t>关键词：</w:t>
      </w:r>
      <w:r>
        <w:rPr>
          <w:rFonts w:hint="eastAsia" w:ascii="宋体" w:hAnsi="宋体" w:eastAsia="宋体" w:cs="宋体"/>
          <w:color w:val="auto"/>
        </w:rPr>
        <w:t>科技馆；教育活动；学习科学；建构主义；情境认知；馆校合作；STEM教育；认知心理学</w:t>
      </w:r>
    </w:p>
    <w:p w14:paraId="5C35031D">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p>
    <w:p w14:paraId="3F4C9519">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36"/>
        </w:rPr>
        <w:t>Abstract</w:t>
      </w:r>
    </w:p>
    <w:p w14:paraId="6121E671">
      <w:pPr>
        <w:pageBreakBefore w:val="0"/>
        <w:widowControl/>
        <w:kinsoku/>
        <w:wordWrap/>
        <w:overflowPunct/>
        <w:topLinePunct w:val="0"/>
        <w:autoSpaceDE/>
        <w:autoSpaceDN/>
        <w:bidi w:val="0"/>
        <w:adjustRightInd/>
        <w:snapToGrid/>
        <w:spacing w:after="0" w:line="360" w:lineRule="auto"/>
        <w:ind w:firstLine="480"/>
        <w:textAlignment w:val="auto"/>
        <w:rPr>
          <w:rFonts w:hint="eastAsia" w:ascii="宋体" w:hAnsi="宋体" w:eastAsia="宋体" w:cs="宋体"/>
          <w:color w:val="auto"/>
        </w:rPr>
      </w:pPr>
      <w:r>
        <w:rPr>
          <w:rFonts w:hint="eastAsia" w:ascii="宋体" w:hAnsi="宋体" w:eastAsia="宋体" w:cs="宋体"/>
          <w:color w:val="auto"/>
        </w:rPr>
        <w:t>Science museums and technology centers serve as core venues for informal science education, bearing the important mission of enhancing public scientific literacy, stimulating interest in science, and cultivating innovative talents. Against the backdrop of educational reform in the new era, the theoretical construction and practical innovation of educational activities in science museums have become significant topics in science education research. This study takes learning sciences as its theoretical foundation, systematically integrating constructivist learning theory, situated cognition theory, inquiry-based learning theory and cognitive psychology theory to construct a theoretical analysis framework for educational activities in science museums.</w:t>
      </w:r>
    </w:p>
    <w:p w14:paraId="5DFDA075">
      <w:pPr>
        <w:pageBreakBefore w:val="0"/>
        <w:widowControl/>
        <w:kinsoku/>
        <w:wordWrap/>
        <w:overflowPunct/>
        <w:topLinePunct w:val="0"/>
        <w:autoSpaceDE/>
        <w:autoSpaceDN/>
        <w:bidi w:val="0"/>
        <w:adjustRightInd/>
        <w:snapToGrid/>
        <w:spacing w:after="0" w:line="360" w:lineRule="auto"/>
        <w:ind w:firstLine="480"/>
        <w:textAlignment w:val="auto"/>
        <w:rPr>
          <w:rFonts w:hint="eastAsia" w:ascii="宋体" w:hAnsi="宋体" w:eastAsia="宋体" w:cs="宋体"/>
          <w:color w:val="auto"/>
        </w:rPr>
      </w:pPr>
      <w:r>
        <w:rPr>
          <w:rFonts w:hint="eastAsia" w:ascii="宋体" w:hAnsi="宋体" w:eastAsia="宋体" w:cs="宋体"/>
          <w:color w:val="auto"/>
        </w:rPr>
        <w:t>Employing mixed methods research, this study comprehensively utilizes longitudinal tracking research, quasi-experimental design, questionnaire surveys, and in-depth interviews across multiple representative science museums. At the theoretical level, the study deeply analyzes the connection mechanisms between constructivist learning theory and science museum educational practice, constructing a "Context-Inquiry-Construction" triune theoretical model and an ACPRE (Activate-Chunk-Practice-Reflect-Extend) educational activity design model based on cognitive psychology. At the methodological level, standardized learning outcome assessment tools and multi-dimensional assessment scales were developed and validated through longitudinal studies. At the practical level, the study explores innovation strategies in four dimensions: exhibit-based educational activity development, museum-school partnership mechanisms, digital educational resource development, and family learning scenario design. At the policy level, recommendations for improving science museum functional configuration standards and promoting differentiated development are proposed.</w:t>
      </w:r>
    </w:p>
    <w:p w14:paraId="7C2AA4FF">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eastAsia" w:ascii="宋体" w:hAnsi="宋体" w:eastAsia="宋体" w:cs="宋体"/>
          <w:color w:val="auto"/>
        </w:rPr>
      </w:pPr>
      <w:r>
        <w:rPr>
          <w:rFonts w:hint="eastAsia" w:ascii="宋体" w:hAnsi="宋体" w:eastAsia="宋体" w:cs="宋体"/>
          <w:b/>
          <w:color w:val="auto"/>
        </w:rPr>
        <w:t>Keywords:</w:t>
      </w:r>
      <w:r>
        <w:rPr>
          <w:rFonts w:hint="eastAsia" w:ascii="宋体" w:hAnsi="宋体" w:eastAsia="宋体" w:cs="宋体"/>
          <w:color w:val="auto"/>
        </w:rPr>
        <w:t>Science Museum; Educational Activities; Learning Sciences; Constructivism; Situated Cognition; Museum-School Partnership; STEM Education; Cognitive Psychology</w:t>
      </w:r>
    </w:p>
    <w:p w14:paraId="64E04B13">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p>
    <w:p w14:paraId="51ED6CA2">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36"/>
        </w:rPr>
        <w:t>目  录</w:t>
      </w:r>
    </w:p>
    <w:p w14:paraId="5E4E43A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fldChar w:fldCharType="begin"/>
      </w:r>
      <w:r>
        <w:rPr>
          <w:rFonts w:hint="eastAsia" w:ascii="宋体" w:hAnsi="宋体" w:eastAsia="宋体" w:cs="宋体"/>
          <w:color w:val="auto"/>
        </w:rPr>
        <w:instrText xml:space="preserve"> TOC \o "1-3" \h \z \u </w:instrText>
      </w:r>
      <w:r>
        <w:rPr>
          <w:rFonts w:hint="eastAsia" w:ascii="宋体" w:hAnsi="宋体" w:eastAsia="宋体" w:cs="宋体"/>
          <w:color w:val="auto"/>
        </w:rPr>
        <w:fldChar w:fldCharType="separate"/>
      </w:r>
    </w:p>
    <w:p w14:paraId="0644EA3F">
      <w:pPr>
        <w:pStyle w:val="9"/>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第一章  绪论</w:t>
      </w:r>
      <w:r>
        <w:rPr>
          <w:rFonts w:hint="eastAsia" w:ascii="宋体" w:hAnsi="宋体" w:eastAsia="宋体" w:cs="宋体"/>
          <w:color w:val="auto"/>
        </w:rPr>
        <w:tab/>
      </w:r>
      <w:r>
        <w:rPr>
          <w:rFonts w:hint="eastAsia" w:ascii="宋体" w:hAnsi="宋体" w:eastAsia="宋体" w:cs="宋体"/>
          <w:color w:val="auto"/>
        </w:rPr>
        <w:t>1</w:t>
      </w:r>
    </w:p>
    <w:p w14:paraId="58673415">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1.1  研究背景</w:t>
      </w:r>
      <w:r>
        <w:rPr>
          <w:rFonts w:hint="eastAsia" w:ascii="宋体" w:hAnsi="宋体" w:eastAsia="宋体" w:cs="宋体"/>
          <w:color w:val="auto"/>
        </w:rPr>
        <w:tab/>
      </w:r>
      <w:r>
        <w:rPr>
          <w:rFonts w:hint="eastAsia" w:ascii="宋体" w:hAnsi="宋体" w:eastAsia="宋体" w:cs="宋体"/>
          <w:color w:val="auto"/>
        </w:rPr>
        <w:t>1</w:t>
      </w:r>
    </w:p>
    <w:p w14:paraId="52D3FBB4">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1.2  问题提出</w:t>
      </w:r>
      <w:r>
        <w:rPr>
          <w:rFonts w:hint="eastAsia" w:ascii="宋体" w:hAnsi="宋体" w:eastAsia="宋体" w:cs="宋体"/>
          <w:color w:val="auto"/>
        </w:rPr>
        <w:tab/>
      </w:r>
      <w:r>
        <w:rPr>
          <w:rFonts w:hint="eastAsia" w:ascii="宋体" w:hAnsi="宋体" w:eastAsia="宋体" w:cs="宋体"/>
          <w:color w:val="auto"/>
        </w:rPr>
        <w:t>4</w:t>
      </w:r>
    </w:p>
    <w:p w14:paraId="7E9E1DFD">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1.3  研究目的与意义</w:t>
      </w:r>
      <w:r>
        <w:rPr>
          <w:rFonts w:hint="eastAsia" w:ascii="宋体" w:hAnsi="宋体" w:eastAsia="宋体" w:cs="宋体"/>
          <w:color w:val="auto"/>
        </w:rPr>
        <w:tab/>
      </w:r>
      <w:r>
        <w:rPr>
          <w:rFonts w:hint="eastAsia" w:ascii="宋体" w:hAnsi="宋体" w:eastAsia="宋体" w:cs="宋体"/>
          <w:color w:val="auto"/>
        </w:rPr>
        <w:t>6</w:t>
      </w:r>
    </w:p>
    <w:p w14:paraId="3A64B203">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1.4  研究方法与技术路线</w:t>
      </w:r>
      <w:r>
        <w:rPr>
          <w:rFonts w:hint="eastAsia" w:ascii="宋体" w:hAnsi="宋体" w:eastAsia="宋体" w:cs="宋体"/>
          <w:color w:val="auto"/>
        </w:rPr>
        <w:tab/>
      </w:r>
      <w:r>
        <w:rPr>
          <w:rFonts w:hint="eastAsia" w:ascii="宋体" w:hAnsi="宋体" w:eastAsia="宋体" w:cs="宋体"/>
          <w:color w:val="auto"/>
        </w:rPr>
        <w:t>8</w:t>
      </w:r>
    </w:p>
    <w:p w14:paraId="77CDF9DE">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1.5  研究创新点</w:t>
      </w:r>
      <w:r>
        <w:rPr>
          <w:rFonts w:hint="eastAsia" w:ascii="宋体" w:hAnsi="宋体" w:eastAsia="宋体" w:cs="宋体"/>
          <w:color w:val="auto"/>
        </w:rPr>
        <w:tab/>
      </w:r>
      <w:r>
        <w:rPr>
          <w:rFonts w:hint="eastAsia" w:ascii="宋体" w:hAnsi="宋体" w:eastAsia="宋体" w:cs="宋体"/>
          <w:color w:val="auto"/>
        </w:rPr>
        <w:t>10</w:t>
      </w:r>
    </w:p>
    <w:p w14:paraId="19FFD79F">
      <w:pPr>
        <w:pStyle w:val="9"/>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第二章  文献综述</w:t>
      </w:r>
      <w:r>
        <w:rPr>
          <w:rFonts w:hint="eastAsia" w:ascii="宋体" w:hAnsi="宋体" w:eastAsia="宋体" w:cs="宋体"/>
          <w:color w:val="auto"/>
        </w:rPr>
        <w:tab/>
      </w:r>
      <w:r>
        <w:rPr>
          <w:rFonts w:hint="eastAsia" w:ascii="宋体" w:hAnsi="宋体" w:eastAsia="宋体" w:cs="宋体"/>
          <w:color w:val="auto"/>
        </w:rPr>
        <w:t>12</w:t>
      </w:r>
    </w:p>
    <w:p w14:paraId="2056585D">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2.1  科技馆教育活动的基本概念与类型</w:t>
      </w:r>
      <w:r>
        <w:rPr>
          <w:rFonts w:hint="eastAsia" w:ascii="宋体" w:hAnsi="宋体" w:eastAsia="宋体" w:cs="宋体"/>
          <w:color w:val="auto"/>
        </w:rPr>
        <w:tab/>
      </w:r>
      <w:r>
        <w:rPr>
          <w:rFonts w:hint="eastAsia" w:ascii="宋体" w:hAnsi="宋体" w:eastAsia="宋体" w:cs="宋体"/>
          <w:color w:val="auto"/>
        </w:rPr>
        <w:t>12</w:t>
      </w:r>
    </w:p>
    <w:p w14:paraId="6C11C1D5">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2.2  科技馆教育活动的国际研究现状</w:t>
      </w:r>
      <w:r>
        <w:rPr>
          <w:rFonts w:hint="eastAsia" w:ascii="宋体" w:hAnsi="宋体" w:eastAsia="宋体" w:cs="宋体"/>
          <w:color w:val="auto"/>
        </w:rPr>
        <w:tab/>
      </w:r>
      <w:r>
        <w:rPr>
          <w:rFonts w:hint="eastAsia" w:ascii="宋体" w:hAnsi="宋体" w:eastAsia="宋体" w:cs="宋体"/>
          <w:color w:val="auto"/>
        </w:rPr>
        <w:t>16</w:t>
      </w:r>
    </w:p>
    <w:p w14:paraId="6BFE1DCF">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2.3  科技馆教育活动的国内研究现状</w:t>
      </w:r>
      <w:r>
        <w:rPr>
          <w:rFonts w:hint="eastAsia" w:ascii="宋体" w:hAnsi="宋体" w:eastAsia="宋体" w:cs="宋体"/>
          <w:color w:val="auto"/>
        </w:rPr>
        <w:tab/>
      </w:r>
      <w:r>
        <w:rPr>
          <w:rFonts w:hint="eastAsia" w:ascii="宋体" w:hAnsi="宋体" w:eastAsia="宋体" w:cs="宋体"/>
          <w:color w:val="auto"/>
        </w:rPr>
        <w:t>22</w:t>
      </w:r>
    </w:p>
    <w:p w14:paraId="190FD5A4">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2.4  现有研究的不足与本研究的定位</w:t>
      </w:r>
      <w:r>
        <w:rPr>
          <w:rFonts w:hint="eastAsia" w:ascii="宋体" w:hAnsi="宋体" w:eastAsia="宋体" w:cs="宋体"/>
          <w:color w:val="auto"/>
        </w:rPr>
        <w:tab/>
      </w:r>
      <w:r>
        <w:rPr>
          <w:rFonts w:hint="eastAsia" w:ascii="宋体" w:hAnsi="宋体" w:eastAsia="宋体" w:cs="宋体"/>
          <w:color w:val="auto"/>
        </w:rPr>
        <w:t>28</w:t>
      </w:r>
    </w:p>
    <w:p w14:paraId="6621067D">
      <w:pPr>
        <w:pStyle w:val="9"/>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第三章  理论框架：学习科学与科技馆教育的对接</w:t>
      </w:r>
      <w:r>
        <w:rPr>
          <w:rFonts w:hint="eastAsia" w:ascii="宋体" w:hAnsi="宋体" w:eastAsia="宋体" w:cs="宋体"/>
          <w:color w:val="auto"/>
        </w:rPr>
        <w:tab/>
      </w:r>
      <w:r>
        <w:rPr>
          <w:rFonts w:hint="eastAsia" w:ascii="宋体" w:hAnsi="宋体" w:eastAsia="宋体" w:cs="宋体"/>
          <w:color w:val="auto"/>
        </w:rPr>
        <w:t>31</w:t>
      </w:r>
    </w:p>
    <w:p w14:paraId="684EB129">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3.1  建构主义学习理论与科技馆教育实践</w:t>
      </w:r>
      <w:r>
        <w:rPr>
          <w:rFonts w:hint="eastAsia" w:ascii="宋体" w:hAnsi="宋体" w:eastAsia="宋体" w:cs="宋体"/>
          <w:color w:val="auto"/>
        </w:rPr>
        <w:tab/>
      </w:r>
      <w:r>
        <w:rPr>
          <w:rFonts w:hint="eastAsia" w:ascii="宋体" w:hAnsi="宋体" w:eastAsia="宋体" w:cs="宋体"/>
          <w:color w:val="auto"/>
        </w:rPr>
        <w:t>31</w:t>
      </w:r>
    </w:p>
    <w:p w14:paraId="57060A7E">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3.2  情境认知理论与科技馆学习情境的创设</w:t>
      </w:r>
      <w:r>
        <w:rPr>
          <w:rFonts w:hint="eastAsia" w:ascii="宋体" w:hAnsi="宋体" w:eastAsia="宋体" w:cs="宋体"/>
          <w:color w:val="auto"/>
        </w:rPr>
        <w:tab/>
      </w:r>
      <w:r>
        <w:rPr>
          <w:rFonts w:hint="eastAsia" w:ascii="宋体" w:hAnsi="宋体" w:eastAsia="宋体" w:cs="宋体"/>
          <w:color w:val="auto"/>
        </w:rPr>
        <w:t>36</w:t>
      </w:r>
    </w:p>
    <w:p w14:paraId="09D91C49">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3.3  探究式学习理论与科技馆教育活动设计</w:t>
      </w:r>
      <w:r>
        <w:rPr>
          <w:rFonts w:hint="eastAsia" w:ascii="宋体" w:hAnsi="宋体" w:eastAsia="宋体" w:cs="宋体"/>
          <w:color w:val="auto"/>
        </w:rPr>
        <w:tab/>
      </w:r>
      <w:r>
        <w:rPr>
          <w:rFonts w:hint="eastAsia" w:ascii="宋体" w:hAnsi="宋体" w:eastAsia="宋体" w:cs="宋体"/>
          <w:color w:val="auto"/>
        </w:rPr>
        <w:t>41</w:t>
      </w:r>
    </w:p>
    <w:p w14:paraId="391F2193">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3.4  认知心理学视域下的教育活动设计</w:t>
      </w:r>
      <w:r>
        <w:rPr>
          <w:rFonts w:hint="eastAsia" w:ascii="宋体" w:hAnsi="宋体" w:eastAsia="宋体" w:cs="宋体"/>
          <w:color w:val="auto"/>
        </w:rPr>
        <w:tab/>
      </w:r>
      <w:r>
        <w:rPr>
          <w:rFonts w:hint="eastAsia" w:ascii="宋体" w:hAnsi="宋体" w:eastAsia="宋体" w:cs="宋体"/>
          <w:color w:val="auto"/>
        </w:rPr>
        <w:t>46</w:t>
      </w:r>
    </w:p>
    <w:p w14:paraId="36569654">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3.5  "情境-探究-建构"理论模型的构建</w:t>
      </w:r>
      <w:r>
        <w:rPr>
          <w:rFonts w:hint="eastAsia" w:ascii="宋体" w:hAnsi="宋体" w:eastAsia="宋体" w:cs="宋体"/>
          <w:color w:val="auto"/>
        </w:rPr>
        <w:tab/>
      </w:r>
      <w:r>
        <w:rPr>
          <w:rFonts w:hint="eastAsia" w:ascii="宋体" w:hAnsi="宋体" w:eastAsia="宋体" w:cs="宋体"/>
          <w:color w:val="auto"/>
        </w:rPr>
        <w:t>52</w:t>
      </w:r>
    </w:p>
    <w:p w14:paraId="78F1CFD9">
      <w:pPr>
        <w:pStyle w:val="9"/>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第四章  研究方法：纵向追踪与混合研究设计</w:t>
      </w:r>
      <w:r>
        <w:rPr>
          <w:rFonts w:hint="eastAsia" w:ascii="宋体" w:hAnsi="宋体" w:eastAsia="宋体" w:cs="宋体"/>
          <w:color w:val="auto"/>
        </w:rPr>
        <w:tab/>
      </w:r>
      <w:r>
        <w:rPr>
          <w:rFonts w:hint="eastAsia" w:ascii="宋体" w:hAnsi="宋体" w:eastAsia="宋体" w:cs="宋体"/>
          <w:color w:val="auto"/>
        </w:rPr>
        <w:t>58</w:t>
      </w:r>
    </w:p>
    <w:p w14:paraId="3195AA45">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4.1  研究设计总体框架</w:t>
      </w:r>
      <w:r>
        <w:rPr>
          <w:rFonts w:hint="eastAsia" w:ascii="宋体" w:hAnsi="宋体" w:eastAsia="宋体" w:cs="宋体"/>
          <w:color w:val="auto"/>
        </w:rPr>
        <w:tab/>
      </w:r>
      <w:r>
        <w:rPr>
          <w:rFonts w:hint="eastAsia" w:ascii="宋体" w:hAnsi="宋体" w:eastAsia="宋体" w:cs="宋体"/>
          <w:color w:val="auto"/>
        </w:rPr>
        <w:t>58</w:t>
      </w:r>
    </w:p>
    <w:p w14:paraId="3F17670F">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4.2  纵向追踪研究方法</w:t>
      </w:r>
      <w:r>
        <w:rPr>
          <w:rFonts w:hint="eastAsia" w:ascii="宋体" w:hAnsi="宋体" w:eastAsia="宋体" w:cs="宋体"/>
          <w:color w:val="auto"/>
        </w:rPr>
        <w:tab/>
      </w:r>
      <w:r>
        <w:rPr>
          <w:rFonts w:hint="eastAsia" w:ascii="宋体" w:hAnsi="宋体" w:eastAsia="宋体" w:cs="宋体"/>
          <w:color w:val="auto"/>
        </w:rPr>
        <w:t>61</w:t>
      </w:r>
    </w:p>
    <w:p w14:paraId="37756BC9">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4.3  混合研究方法的设计与实施</w:t>
      </w:r>
      <w:r>
        <w:rPr>
          <w:rFonts w:hint="eastAsia" w:ascii="宋体" w:hAnsi="宋体" w:eastAsia="宋体" w:cs="宋体"/>
          <w:color w:val="auto"/>
        </w:rPr>
        <w:tab/>
      </w:r>
      <w:r>
        <w:rPr>
          <w:rFonts w:hint="eastAsia" w:ascii="宋体" w:hAnsi="宋体" w:eastAsia="宋体" w:cs="宋体"/>
          <w:color w:val="auto"/>
        </w:rPr>
        <w:t>65</w:t>
      </w:r>
    </w:p>
    <w:p w14:paraId="1DB53DCD">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4.4  学习成效评估工具的构建与验证</w:t>
      </w:r>
      <w:r>
        <w:rPr>
          <w:rFonts w:hint="eastAsia" w:ascii="宋体" w:hAnsi="宋体" w:eastAsia="宋体" w:cs="宋体"/>
          <w:color w:val="auto"/>
        </w:rPr>
        <w:tab/>
      </w:r>
      <w:r>
        <w:rPr>
          <w:rFonts w:hint="eastAsia" w:ascii="宋体" w:hAnsi="宋体" w:eastAsia="宋体" w:cs="宋体"/>
          <w:color w:val="auto"/>
        </w:rPr>
        <w:t>69</w:t>
      </w:r>
    </w:p>
    <w:p w14:paraId="2EEE03D2">
      <w:pPr>
        <w:pStyle w:val="9"/>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第五章  实践研究：教育活动的开发与实施</w:t>
      </w:r>
      <w:r>
        <w:rPr>
          <w:rFonts w:hint="eastAsia" w:ascii="宋体" w:hAnsi="宋体" w:eastAsia="宋体" w:cs="宋体"/>
          <w:color w:val="auto"/>
        </w:rPr>
        <w:tab/>
      </w:r>
      <w:r>
        <w:rPr>
          <w:rFonts w:hint="eastAsia" w:ascii="宋体" w:hAnsi="宋体" w:eastAsia="宋体" w:cs="宋体"/>
          <w:color w:val="auto"/>
        </w:rPr>
        <w:t>74</w:t>
      </w:r>
    </w:p>
    <w:p w14:paraId="23B3E1C2">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5.1  基于展品的教育活动开发</w:t>
      </w:r>
      <w:r>
        <w:rPr>
          <w:rFonts w:hint="eastAsia" w:ascii="宋体" w:hAnsi="宋体" w:eastAsia="宋体" w:cs="宋体"/>
          <w:color w:val="auto"/>
        </w:rPr>
        <w:tab/>
      </w:r>
      <w:r>
        <w:rPr>
          <w:rFonts w:hint="eastAsia" w:ascii="宋体" w:hAnsi="宋体" w:eastAsia="宋体" w:cs="宋体"/>
          <w:color w:val="auto"/>
        </w:rPr>
        <w:t>74</w:t>
      </w:r>
    </w:p>
    <w:p w14:paraId="6A2477D4">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5.2  馆校合作长效机制的构建</w:t>
      </w:r>
      <w:r>
        <w:rPr>
          <w:rFonts w:hint="eastAsia" w:ascii="宋体" w:hAnsi="宋体" w:eastAsia="宋体" w:cs="宋体"/>
          <w:color w:val="auto"/>
        </w:rPr>
        <w:tab/>
      </w:r>
      <w:r>
        <w:rPr>
          <w:rFonts w:hint="eastAsia" w:ascii="宋体" w:hAnsi="宋体" w:eastAsia="宋体" w:cs="宋体"/>
          <w:color w:val="auto"/>
        </w:rPr>
        <w:t>82</w:t>
      </w:r>
    </w:p>
    <w:p w14:paraId="35D8F0EF">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5.3  数字化教育资源的开发与应用</w:t>
      </w:r>
      <w:r>
        <w:rPr>
          <w:rFonts w:hint="eastAsia" w:ascii="宋体" w:hAnsi="宋体" w:eastAsia="宋体" w:cs="宋体"/>
          <w:color w:val="auto"/>
        </w:rPr>
        <w:tab/>
      </w:r>
      <w:r>
        <w:rPr>
          <w:rFonts w:hint="eastAsia" w:ascii="宋体" w:hAnsi="宋体" w:eastAsia="宋体" w:cs="宋体"/>
          <w:color w:val="auto"/>
        </w:rPr>
        <w:t>89</w:t>
      </w:r>
    </w:p>
    <w:p w14:paraId="55135AAC">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5.4  家庭学习场景的设计与引导</w:t>
      </w:r>
      <w:r>
        <w:rPr>
          <w:rFonts w:hint="eastAsia" w:ascii="宋体" w:hAnsi="宋体" w:eastAsia="宋体" w:cs="宋体"/>
          <w:color w:val="auto"/>
        </w:rPr>
        <w:tab/>
      </w:r>
      <w:r>
        <w:rPr>
          <w:rFonts w:hint="eastAsia" w:ascii="宋体" w:hAnsi="宋体" w:eastAsia="宋体" w:cs="宋体"/>
          <w:color w:val="auto"/>
        </w:rPr>
        <w:t>95</w:t>
      </w:r>
    </w:p>
    <w:p w14:paraId="37894C29">
      <w:pPr>
        <w:pStyle w:val="9"/>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第六章  政策研究：功能配置与差异化发展</w:t>
      </w:r>
      <w:r>
        <w:rPr>
          <w:rFonts w:hint="eastAsia" w:ascii="宋体" w:hAnsi="宋体" w:eastAsia="宋体" w:cs="宋体"/>
          <w:color w:val="auto"/>
        </w:rPr>
        <w:tab/>
      </w:r>
      <w:r>
        <w:rPr>
          <w:rFonts w:hint="eastAsia" w:ascii="宋体" w:hAnsi="宋体" w:eastAsia="宋体" w:cs="宋体"/>
          <w:color w:val="auto"/>
        </w:rPr>
        <w:t>101</w:t>
      </w:r>
    </w:p>
    <w:p w14:paraId="5C1832D8">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6.1  科技馆功能配置标准的国际比较</w:t>
      </w:r>
      <w:r>
        <w:rPr>
          <w:rFonts w:hint="eastAsia" w:ascii="宋体" w:hAnsi="宋体" w:eastAsia="宋体" w:cs="宋体"/>
          <w:color w:val="auto"/>
        </w:rPr>
        <w:tab/>
      </w:r>
      <w:r>
        <w:rPr>
          <w:rFonts w:hint="eastAsia" w:ascii="宋体" w:hAnsi="宋体" w:eastAsia="宋体" w:cs="宋体"/>
          <w:color w:val="auto"/>
        </w:rPr>
        <w:t>101</w:t>
      </w:r>
    </w:p>
    <w:p w14:paraId="02F067C0">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6.2  我国科技馆功能配置的现状与问题</w:t>
      </w:r>
      <w:r>
        <w:rPr>
          <w:rFonts w:hint="eastAsia" w:ascii="宋体" w:hAnsi="宋体" w:eastAsia="宋体" w:cs="宋体"/>
          <w:color w:val="auto"/>
        </w:rPr>
        <w:tab/>
      </w:r>
      <w:r>
        <w:rPr>
          <w:rFonts w:hint="eastAsia" w:ascii="宋体" w:hAnsi="宋体" w:eastAsia="宋体" w:cs="宋体"/>
          <w:color w:val="auto"/>
        </w:rPr>
        <w:t>107</w:t>
      </w:r>
    </w:p>
    <w:p w14:paraId="53C38870">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6.3  科技馆差异化发展的政策建议</w:t>
      </w:r>
      <w:r>
        <w:rPr>
          <w:rFonts w:hint="eastAsia" w:ascii="宋体" w:hAnsi="宋体" w:eastAsia="宋体" w:cs="宋体"/>
          <w:color w:val="auto"/>
        </w:rPr>
        <w:tab/>
      </w:r>
      <w:r>
        <w:rPr>
          <w:rFonts w:hint="eastAsia" w:ascii="宋体" w:hAnsi="宋体" w:eastAsia="宋体" w:cs="宋体"/>
          <w:color w:val="auto"/>
        </w:rPr>
        <w:t>112</w:t>
      </w:r>
    </w:p>
    <w:p w14:paraId="0DC1B33F">
      <w:pPr>
        <w:pStyle w:val="9"/>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第七章  结论与展望</w:t>
      </w:r>
      <w:r>
        <w:rPr>
          <w:rFonts w:hint="eastAsia" w:ascii="宋体" w:hAnsi="宋体" w:eastAsia="宋体" w:cs="宋体"/>
          <w:color w:val="auto"/>
        </w:rPr>
        <w:tab/>
      </w:r>
      <w:r>
        <w:rPr>
          <w:rFonts w:hint="eastAsia" w:ascii="宋体" w:hAnsi="宋体" w:eastAsia="宋体" w:cs="宋体"/>
          <w:color w:val="auto"/>
        </w:rPr>
        <w:t>119</w:t>
      </w:r>
    </w:p>
    <w:p w14:paraId="4E1F6FCF">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7.1  研究结论</w:t>
      </w:r>
      <w:r>
        <w:rPr>
          <w:rFonts w:hint="eastAsia" w:ascii="宋体" w:hAnsi="宋体" w:eastAsia="宋体" w:cs="宋体"/>
          <w:color w:val="auto"/>
        </w:rPr>
        <w:tab/>
      </w:r>
      <w:r>
        <w:rPr>
          <w:rFonts w:hint="eastAsia" w:ascii="宋体" w:hAnsi="宋体" w:eastAsia="宋体" w:cs="宋体"/>
          <w:color w:val="auto"/>
        </w:rPr>
        <w:t>119</w:t>
      </w:r>
    </w:p>
    <w:p w14:paraId="4FF53E7E">
      <w:pPr>
        <w:pStyle w:val="1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7.2  研究局限与展望</w:t>
      </w:r>
      <w:r>
        <w:rPr>
          <w:rFonts w:hint="eastAsia" w:ascii="宋体" w:hAnsi="宋体" w:eastAsia="宋体" w:cs="宋体"/>
          <w:color w:val="auto"/>
        </w:rPr>
        <w:tab/>
      </w:r>
      <w:r>
        <w:rPr>
          <w:rFonts w:hint="eastAsia" w:ascii="宋体" w:hAnsi="宋体" w:eastAsia="宋体" w:cs="宋体"/>
          <w:color w:val="auto"/>
        </w:rPr>
        <w:t>124</w:t>
      </w:r>
    </w:p>
    <w:p w14:paraId="7A9D770E">
      <w:pPr>
        <w:pStyle w:val="9"/>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参考文献</w:t>
      </w:r>
      <w:r>
        <w:rPr>
          <w:rFonts w:hint="eastAsia" w:ascii="宋体" w:hAnsi="宋体" w:eastAsia="宋体" w:cs="宋体"/>
          <w:color w:val="auto"/>
        </w:rPr>
        <w:tab/>
      </w:r>
      <w:r>
        <w:rPr>
          <w:rFonts w:hint="eastAsia" w:ascii="宋体" w:hAnsi="宋体" w:eastAsia="宋体" w:cs="宋体"/>
          <w:color w:val="auto"/>
        </w:rPr>
        <w:t>128</w:t>
      </w:r>
    </w:p>
    <w:p w14:paraId="64589BF9">
      <w:pPr>
        <w:pStyle w:val="9"/>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致谢</w:t>
      </w:r>
      <w:r>
        <w:rPr>
          <w:rFonts w:hint="eastAsia" w:ascii="宋体" w:hAnsi="宋体" w:eastAsia="宋体" w:cs="宋体"/>
          <w:color w:val="auto"/>
        </w:rPr>
        <w:tab/>
      </w:r>
      <w:r>
        <w:rPr>
          <w:rFonts w:hint="eastAsia" w:ascii="宋体" w:hAnsi="宋体" w:eastAsia="宋体" w:cs="宋体"/>
          <w:color w:val="auto"/>
        </w:rPr>
        <w:t>138</w:t>
      </w:r>
    </w:p>
    <w:p w14:paraId="3A0E6D0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fldChar w:fldCharType="end"/>
      </w:r>
    </w:p>
    <w:p w14:paraId="37E6A23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sectPr>
          <w:pgSz w:w="11906" w:h="16838"/>
          <w:pgMar w:top="1440" w:right="1800" w:bottom="1440" w:left="1800" w:header="720" w:footer="720" w:gutter="0"/>
          <w:cols w:space="720" w:num="1"/>
        </w:sectPr>
      </w:pPr>
    </w:p>
    <w:p w14:paraId="45BDB5A9">
      <w:pPr>
        <w:pStyle w:val="2"/>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第一章  绪论</w:t>
      </w:r>
      <w:bookmarkStart w:id="0" w:name="_Toc001"/>
      <w:bookmarkEnd w:id="0"/>
    </w:p>
    <w:p w14:paraId="1F7221E5">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1.1  研究背景</w:t>
      </w:r>
    </w:p>
    <w:p w14:paraId="4EB5154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21世纪以来，随着知识经济时代的到来和科学技术的迅猛发展，公众科学素养的提升已成为各国综合国力竞争的重要战略支点。科技馆作为非正规科学教育的核心场域，在普及科学知识、传播科学思想、倡导科学方法、弘扬科学精神方面发挥着不可替代的作用。根据国际科学技术中心协会（ASTC）的统计，全球已有超过4000家科学技术中心，年接待观众超过3.5亿人次，科技馆已成为公众接触科学、体验科学的重要窗口。</w:t>
      </w:r>
    </w:p>
    <w:p w14:paraId="158B703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2006年，国务院颁布《全民科学素质行动计划纲要（2006—2010—2020年）》，明确提出要"加强科普基础设施建设，增强科普服务能力"。2016年，国务院办公厅印发《全民科学素质行动计划纲要实施方案（2016—2020年）》，进一步强调要"充分发挥科技馆等科普基础设施的作用"。2021年，国务院印发《全民科学素质行动规划纲要（2021—2035年）》，提出到2025年我国公民具备科学素质的比例超过15%，到2035年达到25%的目标。这一战略部署为科技馆教育事业的发展提供了重要的政策支撑。</w:t>
      </w:r>
    </w:p>
    <w:p w14:paraId="05A5566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教育理念不断更新的背景下，STEM教育、创客教育、探究式学习等新型教育模式在全球范围内蓬勃发展。STEM教育强调科学（Science）、技术（Technology）、工程（Engineering）和数学（Mathematics）的跨学科整合，其核心理念与科技馆教育活动的特性高度契合。朱幼文等学者指出，STEM教育的基本特征是"基于科学与工程实践的跨学科探究式学习"，而科技馆展示教育的基本特征则是"通过模拟再现的科技实践，为观众营造探究式学习的情境，从而使观众获得直接经验"。"实践""探究式学习"和"直接经验"是二者共同的要素，为STEM教育与科技馆教育活动的深度融合提供了理论基础。</w:t>
      </w:r>
    </w:p>
    <w:p w14:paraId="1444398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然而，尽管我国科技馆事业取得了长足发展，但科技馆教育活动的理论研究相对滞后，实践层面仍存在诸多问题。王萍等学者指出，当前科技馆教育活动主要存在三大问题：一是形式主义的娱乐化，活动设计缺乏坚实的理论支撑，过度追求互动的新奇，但活动流于形式，只是浅层操作；二是刻板僵化的学科化，将学校课堂的教育模式简单照搬至科技馆，进行枯燥的知识灌输，忽视了非正式学习环境自由、自主、体验式的特点；三是展教脱节、研而不通，教育活动与展览内容、前沿科研成果关联薄弱，未能形成合力。这些问题的存在制约着科技馆教育功能的充分发挥，亟需通过系统的理论研究加以破解。</w:t>
      </w:r>
    </w:p>
    <w:p w14:paraId="740EB96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学习科学领域，建构主义学习理论、情境认知理论、探究式学习理论以及认知心理学理论为教育实践提供了丰富的理论资源。这些理论强调学习者在真实情境中主动建构知识的重要性，与科技馆教育活动的特性高度契合。然而，如何将这些理论与科技馆教育实践有效对接，构建具有中国特色的科技馆教育活动理论体系，仍然是一个亟待解决的理论问题。</w:t>
      </w:r>
    </w:p>
    <w:p w14:paraId="5351E21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此，本研究以学习科学为理论视角，综合运用纵向追踪研究和混合研究方法，对科技馆教育活动进行系统研究，旨在构建科技馆教育活动的理论框架，开发标准化的学习成效评估工具，探索教育活动的设计原则与实施策略，并提出促进科技馆教育事业可持续发展的政策建议。</w:t>
      </w:r>
    </w:p>
    <w:p w14:paraId="2E01E848">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1.2  问题提出</w:t>
      </w:r>
    </w:p>
    <w:p w14:paraId="75C1E9E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基于上述研究背景，本研究聚焦以下核心问题：</w:t>
      </w:r>
    </w:p>
    <w:p w14:paraId="0A6F194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在理论层面，如何深化科技馆教育活动的学习科学理论基础？具体而言，建构主义学习理论、情境认知理论、探究式学习理论以及认知心理学理论如何与科技馆教育实践有效对接？如何构建一个整合性的理论分析框架来指导科技馆教育活动的设计与实施？</w:t>
      </w:r>
    </w:p>
    <w:p w14:paraId="4F26496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在方法层面，如何建立科学、标准化的科技馆教育活动学习成效评估体系？现有的评估工具存在哪些不足？如何设计纵向追踪研究来考察教育活动的长期效果？如何运用混合研究方法全面评估教育活动的多维效果？</w:t>
      </w:r>
    </w:p>
    <w:p w14:paraId="55FA30A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在实践层面，如何优化科技馆教育活动的设计与实施？基于展品的教育活动如何融合STEM教育理念和探究式学习方法？如何构建馆校合作的长效机制？数字化教育资源如何有效融入教育活动？如何设计适合家庭学习场景的教育活动？</w:t>
      </w:r>
    </w:p>
    <w:p w14:paraId="0A2B51D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第四，在政策层面，如何完善科技馆功能配置标准，推动各级科技馆差异化发展？国际经验对我国科技馆政策制定有何启示？如何构建支持科技馆教育事业可持续发展的政策保障体系？</w:t>
      </w:r>
    </w:p>
    <w:p w14:paraId="004A3806">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1.3  研究目的与意义</w:t>
      </w:r>
    </w:p>
    <w:p w14:paraId="581A42EF">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1.3.1  研究目的</w:t>
      </w:r>
    </w:p>
    <w:p w14:paraId="033D75B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本研究的总体目的是：以学习科学为理论基础，系统研究科技馆教育活动的理论建构、方法创新、实践优化与政策保障，为我国科技馆教育事业的高质量发展提供理论支撑和实践指导。具体目标包括：</w:t>
      </w:r>
    </w:p>
    <w:p w14:paraId="7C0E8C7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（1）构建科技馆教育活动的学习科学理论框架，明确建构主义、情境认知、探究式学习以及认知心理学等理论与科技馆教育实践的对接机制；</w:t>
      </w:r>
    </w:p>
    <w:p w14:paraId="743E5B8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（2）建立标准化的科技馆教育活动学习成效评估工具体系，开发具有良好信效度的多维度评估量表；</w:t>
      </w:r>
    </w:p>
    <w:p w14:paraId="561CA04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（3）探索基于展品的教育活动开发、馆校合作机制构建、数字化教育资源开发、家庭学习场景设计等实践创新策略；</w:t>
      </w:r>
    </w:p>
    <w:p w14:paraId="51604A2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（4）提出完善科技馆功能配置标准、推动各级科技馆差异化发展的政策建议。</w:t>
      </w:r>
    </w:p>
    <w:p w14:paraId="799A763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1.3.2  研究意义</w:t>
      </w:r>
    </w:p>
    <w:p w14:paraId="0F9D4DD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的理论意义在于：首先，拓展了学习科学的应用疆域，将建构主义、情境认知、认知心理学等经典学习理论应用于科技馆教育这一特定场域，丰富了学习科学的理论体系。其次，构建了"情境-探究-建构"三位一体的理论模型和基于认知心理学的"四维五步"（ACPRE）教育活动设计模型，为科技馆教育活动的理论研究提供了新的分析框架。第三，建立了标准化的评估工具体系，填补了国内科技馆教育评估研究的方法论空白。</w:t>
      </w:r>
    </w:p>
    <w:p w14:paraId="324795A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的实践意义在于：第一，为科技馆教育活动的设计与实施提供科学依据，帮助科技馆提升教育活动的质量和效果。第二，为馆校合作的深入推进提供操作指南，促进科技馆资源与学校教育的有效对接。第三，为科技馆数字化教育资源的开发提供设计思路，推动科技馆教育的数字化转型。第四，为科技馆政策制定提供决策参考，促进科技馆事业的健康可持续发展。</w:t>
      </w:r>
    </w:p>
    <w:p w14:paraId="429FD7FE">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1.4  研究方法与技术路线</w:t>
      </w:r>
    </w:p>
    <w:p w14:paraId="231D24C4">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1.4.1  研究方法</w:t>
      </w:r>
    </w:p>
    <w:p w14:paraId="7A2C3B1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本研究采用混合研究方法（Mixed Methods Research），综合运用定性与定量研究方法，具体包括：</w:t>
      </w:r>
    </w:p>
    <w:p w14:paraId="04E5A8A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（1）文献研究法：系统梳理国内外关于科技馆教育活动、学习科学理论、非正规科学教育等领域的研究成果，为本研究提供理论基础和研究依据。</w:t>
      </w:r>
    </w:p>
    <w:p w14:paraId="4280971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（2）纵向追踪研究法（Longitudinal Study）：选取参与科技馆教育活动的受众群体，在多个时间点进行追踪测量，考察教育活动效果的持续性。</w:t>
      </w:r>
    </w:p>
    <w:p w14:paraId="32503D5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（3）准实验设计（Quasi-Experimental Design）：设置实验组和对照组，通过前后测比较，验证基于理论模型设计的教育活动的效果。</w:t>
      </w:r>
    </w:p>
    <w:p w14:paraId="3035938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（4）问卷调查法：编制标准化的评估量表，对教育活动参与者进行大规模调查，获取量化数据。</w:t>
      </w:r>
    </w:p>
    <w:p w14:paraId="7B75D93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（5）深度访谈法：对科技馆教育工作者、学校教师、学生及家长进行半结构化访谈，获取深层的质性数据。</w:t>
      </w:r>
    </w:p>
    <w:p w14:paraId="0A55A96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（6）案例研究法：选取典型科技馆作为案例，深入分析其教育活动的开发、实施与评估过程。</w:t>
      </w:r>
    </w:p>
    <w:p w14:paraId="75A231C7">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1.4.2  技术路线</w:t>
      </w:r>
    </w:p>
    <w:p w14:paraId="5D114F6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的技术路线分为四个阶段：第一阶段为理论建构阶段，通过文献研究整合学习科学理论与科技馆教育实践，构建理论分析框架。第二阶段为工具开发阶段，基于理论框架开发标准化的学习成效评估工具。第三阶段为实证研究阶段，运用纵向追踪和准实验设计等方法开展教育活动的效果研究。第四阶段为整合提升阶段，综合研究发现提出实践创新策略和政策建议。</w:t>
      </w:r>
    </w:p>
    <w:p w14:paraId="5F9EE06B">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1.5  研究创新点</w:t>
      </w:r>
    </w:p>
    <w:p w14:paraId="4B7EAFF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本研究的主要创新点包括：</w:t>
      </w:r>
    </w:p>
    <w:p w14:paraId="7D39FAA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理论创新：构建了"情境-探究-建构"三位一体的理论模型，系统整合了建构主义学习理论、情境认知理论和探究式学习理论，为科技馆教育活动提供了整合性的理论分析框架。同时，将认知心理学的具身认知理论、信息加工理论、图式理论融入教育活动设计，提出了"四维五步"（ACPRE）教育活动设计模型，填补了认知心理学视角下科技馆教育活动设计研究的空白。</w:t>
      </w:r>
    </w:p>
    <w:p w14:paraId="221F4B4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方法创新：建立了国内首个标准化的科技馆教育活动学习成效评估工具体系，包括科学素养评估量表、科学兴趣评估量表、探究能力评估量表和学习体验评估量表四个维度。通过严格的信效度检验，确保评估工具的科学性和适用性。同时，引入纵向追踪研究方法，首次在国内科技馆教育研究领域实现了对教育效果的持续性考察。</w:t>
      </w:r>
    </w:p>
    <w:p w14:paraId="79A6822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实践创新：提出了"四维度一体"的教育活动创新策略体系，将基于展品的教育活动开发、馆校合作机制构建、数字化教育资源开发、家庭学习场景设计四个维度有机整合，形成了系统化、可操作的教育活动优化方案。同时，融入了STEM教育理念、创客教育模式以及5E学习环等前沿教学方法，增强了实践方案的创新性和可操作性。</w:t>
      </w:r>
    </w:p>
    <w:p w14:paraId="4E88679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第四，政策创新：基于国际比较和实证研究，提出了分级分类的科技馆功能配置标准和差异化发展路径，引入"展教研融合"理念，为科技馆政策的制定提供了实证依据。</w:t>
      </w:r>
    </w:p>
    <w:p w14:paraId="0E6B71B2">
      <w:pPr>
        <w:pStyle w:val="2"/>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第二章  文献综述</w:t>
      </w:r>
      <w:bookmarkStart w:id="1" w:name="_Toc002"/>
      <w:bookmarkEnd w:id="1"/>
    </w:p>
    <w:p w14:paraId="5040A0AB">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2.1  科技馆教育活动的基本概念与类型</w:t>
      </w:r>
    </w:p>
    <w:p w14:paraId="70FD350C">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2.1.1  科技馆教育活动的概念界定</w:t>
      </w:r>
    </w:p>
    <w:p w14:paraId="529C424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科技馆教育活动是指科技馆围绕其展览、藏品或科学主题，面向公众特别是青少年群体设计和实施的教育性活动。朱幼文等学者认为，科技馆教育活动是科技馆教育功能的核心载体，是基于展品的体验式、探究式、多样化学习的具体实现形式。从广义上看，科技馆教育活动包括展览教育、培训教育、实验教育、表演教育、竞赛教育、讲座教育等多种形式；从狭义上看，主要指在常设展览基础上开发的、以互动体验为特征的辅助性教育项目。</w:t>
      </w:r>
    </w:p>
    <w:p w14:paraId="588E25E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采用广义的概念界定，将科技馆教育活动定义为：科技馆以提升公众科学素养为目标，以展品和科学现象为载体，通过体验、探究、互动等方式开展的各类教育性活动的总称。这一定义涵盖了基于展览的教育活动、科学课程与工作坊、科学表演与演示、科技竞赛与挑战、科普讲座与研讨、数字化教育项目等多种形式。</w:t>
      </w:r>
    </w:p>
    <w:p w14:paraId="0A5ADCD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2.1.2  科技馆教育活动的类型划分</w:t>
      </w:r>
    </w:p>
    <w:p w14:paraId="6A8BD7D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根据不同的分类标准，科技馆教育活动可以划分为多种类型。龙金晶、王紫色等研究者按照活动形式将其分为基于展览的讲解、科学课程、小实验、科学表演、科学游戏、科技竞赛、科普讲座、专题研讨会等类型。朱幼文等学者则从教育功能角度将其分为展览教育活动、培训实验活动、科学表演活动、科技竞赛活动等。</w:t>
      </w:r>
    </w:p>
    <w:p w14:paraId="65A33DB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陈怡等学者在对美国纽约科学馆、日本科学未来馆和中国科学技术馆的比较研究中发现，三类科技馆的教育活动均可以归纳为三大类：基本型教育活动（在展览教育基础上增加讲解或简单互动）、拓展型教育活动（脱离常设展览，围绕特定主题设计的活动）和综合型教育活动（综合运用上述方式，增加表演、比赛和制作等内容）。这种分类方式为理解不同类型教育活动的特点提供了重要参考。</w:t>
      </w:r>
    </w:p>
    <w:p w14:paraId="456DBA3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本研究综合已有分类框架，结合教育目标的差异，将科技馆教育活动划分为以下四种类型：</w:t>
      </w:r>
    </w:p>
    <w:p w14:paraId="3598965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（1）知识传递型活动：以科学知识传播为主要目标，包括讲解导览、科普讲座、主题展览等。这类活动强调科学知识的系统性和准确性，适合基础性科学知识的普及。</w:t>
      </w:r>
    </w:p>
    <w:p w14:paraId="622D832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（2）技能培养型活动：以科学方法训练和科学技能培养为主要目标，包括科学实验、探究工作坊、科技制作等。这类活动强调动手操作和实践体验，有助于培养参与者的科学探究能力。</w:t>
      </w:r>
    </w:p>
    <w:p w14:paraId="0C2B764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（3）兴趣激发型活动：以激发科学兴趣和好奇心为主要目标，包括科学表演、科学秀、互动游戏等。这类活动强调趣味性和参与性，适合吸引公众特别是儿童群体的注意。</w:t>
      </w:r>
    </w:p>
    <w:p w14:paraId="0B24262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4）综合发展型活动：以科学素养的全面提升为目标，融合知识、技能、态度等多个维度，包括STEM教育项目、馆校合作课程、家庭科学日、创客教育活动等。这类活动强调综合性和系统性，是当前科技馆教育活动发展的主要方向。</w:t>
      </w:r>
    </w:p>
    <w:p w14:paraId="78EC7EA7">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2.2  科技馆教育活动的国际研究现状</w:t>
      </w:r>
    </w:p>
    <w:p w14:paraId="6D653379">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2.2.1  非正式科学教育理论研究</w:t>
      </w:r>
    </w:p>
    <w:p w14:paraId="646A82C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非正式科学教育（Informal Science Education）是国际科学教育研究的重要领域。Falk和Storksdieck提出的自由选择学习（Free-Choice Learning）理论是该领域的核心理论之一。该理论认为，在非正式学习环境如科技馆中，学习者具有高度的自主性和选择性，学习过程由学习者的内在动机和兴趣驱动。Falk等人的实证研究证实，科学博物馆能显著影响公众的科学知识和态度，且这种影响能够跨越种族、族裔、教育和经济障碍。</w:t>
      </w:r>
    </w:p>
    <w:p w14:paraId="7B6CBA8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Rennie和Krishnamurthi从STEM教育视角出发，提出了非正式STEM教育的目标框架，将教育成果划分为意识、知识/理解、参与度/兴趣、态度、行为、技能等维度。Burns等学者则提出了AEIOU框架，从Awareness（意识）、Enjoyment（愉悦）、Interest（兴趣）、Opinions（观点）、Understanding（理解）五个维度评估非正式科学教育的效果。</w:t>
      </w:r>
    </w:p>
    <w:p w14:paraId="2297782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Wasserman、Popson和Weiss（2022）提出了非正式STEM教育与评估系统的战略成果框架，将学习成果分为情境性成果（Situational Outcomes）和个人/稳定成果（Personal/Stable Outcomes）两大类。情境性成果是参观期间和刚结束后出现的短期效果，而个人/稳定成果则是长期持续的、与累积性经验相关的深层变化。</w:t>
      </w:r>
    </w:p>
    <w:p w14:paraId="22429163">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2.2.2  国际科技馆教育活动实践研究</w:t>
      </w:r>
    </w:p>
    <w:p w14:paraId="794CEEC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在国际科技馆教育活动的实践研究方面，美国、欧洲和亚太地区的科技馆形成了各具特色的教育模式。</w:t>
      </w:r>
    </w:p>
    <w:p w14:paraId="2C6698A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美国纽约科学馆（New York Hall of Science）是全球科技馆教育创新的标杆。该馆倡导"设计-制作-游戏"（design-make-play）的教育策略，将工程设计的严谨性与游戏的趣味性相结合，为学习者创造了自由探索的空间。其标志性的"巧匠工作室"（Tinkering Studio）通过为期三年的参与式研究，制定了一套能触发并支持人们积极参与和学习的设计原则，内容涵盖活动目标和途径的选取、工具材料的选择及构成背景等。纽约科学馆的教育活动通常以实践项目为导向（Project-oriented），融合多个学科（Interdisciplinary）的内容，包括探究、设计、反思等重要环节。</w:t>
      </w:r>
    </w:p>
    <w:p w14:paraId="363CF60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日本科学未来馆（Miraikan）则突出"对话交流"的特色，强调与科学家、研究者和公众之间的深度互动。该馆定期邀请诺贝尔奖得主等顶尖科学家与公众交流，开展"与科学家对话"系列活动。其教育活动设计注重科学前沿与社会议题的结合，引导学习者思考科学技术与社会发展的关系。</w:t>
      </w:r>
    </w:p>
    <w:p w14:paraId="395F598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欧洲科技馆在教育活动设计上体现了科学传播的民主化理念。欧盟委员会通过"开放科学"和"科学素养"框架推动科技馆事业发展，强调科技馆在促进科学民主化和社会包容方面的作用。英国科学博物馆集团采用"国家+地方"的两级网络模式，国家级馆注重收藏研究和旗舰展览，地方级馆注重教育服务和社区参与。</w:t>
      </w:r>
    </w:p>
    <w:p w14:paraId="22FA134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2.2.3  STEM教育与科技馆融合研究</w:t>
      </w:r>
    </w:p>
    <w:p w14:paraId="6E1660D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STEM教育与科技馆教育活动的融合是国际研究的重要方向。朱幼文等学者系统探讨了STEM教育核心理念与科技馆教育活动的结合，指出STEM教育的基本特征是"基于科学与工程实践的跨学科探究式学习"，科技馆展示教育的基本特征是"通过模拟再现的科技实践，为观众营造探究式学习的情境"，二者的结合点在于"实践""探究式学习"和"直接经验"三个共同要素。</w:t>
      </w:r>
    </w:p>
    <w:p w14:paraId="0E882FD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张彩霞等学者进一步提出了STEM教育与科技馆教育活动结合的三种整合路径：学科知识整合（将科学、技术、工程和数学的学科知识有机融合）、生活经验整合（将学习内容与学习者的生活经验相联系）和学习者中心整合（以学习者的兴趣和需求为中心设计活动）。该研究还提出了科技馆STEM教育的课程开发流程：科学实践主题提取→跨学科概念和核心概念梳理→基于实践的建构主义教学设计→学习评价。</w:t>
      </w:r>
    </w:p>
    <w:p w14:paraId="0357076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马莹华等学者探索了科技馆中基于STEAM的创客教育活动设计与应用，发现创客教育与STEAM教育在科技馆情境下的融合，能够通过实践项目促进学生的跨学科知识习得、高阶思维能力和团队协作能力的提升。该研究设计的"创意纸电路——城市智慧斑马线"活动案例，展示了如何将工程设计流程与艺术创作相结合，实现STEM与Art的深度融合。</w:t>
      </w:r>
    </w:p>
    <w:p w14:paraId="571E5882">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2.2.4  探究式学习研究</w:t>
      </w:r>
    </w:p>
    <w:p w14:paraId="75BA199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探究式学习（Inquiry-Based Learning）是博物馆教育研究的重要理论视角。国际科学教育界普遍将探究视为科学学习的核心方式。美国国家研究理事会（NRC）在《K-12科学教育框架》中明确提出了"科学与工程实践"的概念，强调学生应像科学家一样开展科学探究，包括提出问题和定义问题、建构和使用模型、设计和实施调查、分析和解释数据、运用数学和计算思维、建构解释和设计解决方案、基于证据进行论证、获取评估和交流信息八种实践。</w:t>
      </w:r>
    </w:p>
    <w:p w14:paraId="4F0D26D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博物馆教育领域，Allen和Crowley（2014）的研究探讨了博物馆教育工作者如何通过迭代实施新的学校参观设计，从传统的说教式方法转向探究式、参与式策略。研究发现，当博物馆教育活动以探究为核心时，学生的参与度和学习效果显著提升。</w:t>
      </w:r>
    </w:p>
    <w:p w14:paraId="2460A6F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于舰等学者探讨了5E学习环（5E Learning Cycle）在科技馆教育中的应用。5E模型包括参与（Engagement）、探究（Exploration）、解释（Explanation）、迁移（Elaboration）和评价（Evaluation）五个阶段，为科技馆教育活动提供了系统化的教学设计框架。该研究以"大自然的恩赐"教案为例，展示了5E学习环在科技馆情境中的具体应用。</w:t>
      </w:r>
    </w:p>
    <w:p w14:paraId="17E5B6AD">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2.2.5  家庭学习研究</w:t>
      </w:r>
    </w:p>
    <w:p w14:paraId="6B3544E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家庭学习（Family Learning）是科技馆教育研究的另一个重要方向。Leinhardt和Knutson（2004）的研究表明，家庭作为"完整的学习系统"参观博物馆，父母常充当学习促进者的角色。有效的引导策略包括定向、解释、挑战、欣赏表达和建立所有权等。Haden等学者（2014）的实证研究发现，对话和物体操作是影响儿童博物馆学习的关键因素，家庭成员之间的互动对话能够有效促进科学概念的理解。</w:t>
      </w:r>
    </w:p>
    <w:p w14:paraId="35B8EF0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刘芷廷等学者对"引导式游戏"教学法进行了综述研究，发现引导式游戏（Guided Play）介于自由游戏和直接教学之间，既保留了游戏的趣味性和自主性，又通过适度的引导确保学习目标的达成。研究表明，引导式游戏能够有效促进学龄前儿童的科学概念理解和科学词汇使用，为科技馆学龄前儿童教育活动的开发提供了重要启示。</w:t>
      </w:r>
    </w:p>
    <w:p w14:paraId="61BCDF6F">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2.3  科技馆教育活动的国内研究现状</w:t>
      </w:r>
    </w:p>
    <w:p w14:paraId="534F02C7">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2.3.1  理论框架研究</w:t>
      </w:r>
    </w:p>
    <w:p w14:paraId="5EDBFEE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国内关于科技馆教育活动的理论研究起步较晚，但近年来发展迅速。朱幼文等学者在该领域的理论建构方面贡献显著。朱幼文（2017）在《自然科学博物馆研究》发表的系列论文中提出，基于展品的教育活动是科技馆"最重要、最基本的教育活动"，科技馆教育特征可概括为"基于展品的体验式、探究式、多样化学习"。他还探讨了STEM教育核心理念与科技馆教育活动的结合，提出了"科技实践"作为基础条件和学习情境、"探究式学习"作为教学方法和过程、"直接经验"作为学习效果和目标的三维度框架。</w:t>
      </w:r>
    </w:p>
    <w:p w14:paraId="1A6F6F3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黄体茂（2012）探讨了现代科技馆核心教育理念与常设展览教育的关系，提出科技馆教育应实现从"知识传授"向"能力培养"的转变。常娟（2011）对科技馆教育功能及其形成机制进行了探析，指出科技馆教育功能的核心在于通过体验式学习促进观众的科学认知和情感发展。</w:t>
      </w:r>
    </w:p>
    <w:p w14:paraId="44C8ABB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王萍等学者从认知心理学视域出发，对科技馆教育活动的设计进行了深入研究。该研究将具身认知理论、信息加工理论、情境认知理论等融入科技馆教育活动课程设计全过程，构建了"四维五步"（ACPRE）教育活动设计模型。"四维"指活动目标应统筹兼顾认知功能奠基、科学概念建构、心理情感融入、科学融合应用四个维度；"五步"指活动实施的具体操作模型，包括激活（Activate）、组块（Chunk）、实践（Practice）、反思（Reflect）和拓展（Extend）五个步骤。该研究以临沂市科技馆为例，通过"脑科学训练营""科学玩家""身心奇旅""青少年科创赛事"四个典型案例，展示了ACPRE模型在不同目标维度下的应用。</w:t>
      </w:r>
    </w:p>
    <w:p w14:paraId="2145FE9B">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2.3.2  教育活动设计研究</w:t>
      </w:r>
    </w:p>
    <w:p w14:paraId="6108B20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教育活动设计方面，龙金晶和王紫色（2009）探讨了科技馆教育活动如何实现对公众科学素质的培养，提出了教育活动设计的原则与方法。《关于科技博物馆教育活动开发的若干思考》一文提出教育活动开发的四大原则：年龄针对性、互动性、结合课程标准、结合生活经验。</w:t>
      </w:r>
    </w:p>
    <w:p w14:paraId="5916360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STEM教育与科技馆融合方面，相关研究探讨了如何融入STEM教育理念进行科技馆教育活动开发设计，以及基于学科核心概念的科技馆教育活动案例分析。孙小莉等（2021）在《有效提升科技馆科学教育活动成效的路径探析》中提出了体现资源优势、启发探究兴趣等有效路径，同时指出当前教育活动存在形式单一、课程缺乏系统性等问题。</w:t>
      </w:r>
    </w:p>
    <w:p w14:paraId="2C684CA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曹文思等学者提出了基于科技馆"解构—探究—解释"（DIE）教学模式的颜色问题解决教学设计。该模式借鉴了科学教育中的探究式学习理念，将教学过程分为解构（Deconstruct）、探究（Inquire）和解释（Explain）三个阶段，为科技馆教育活动的设计提供了新的思路。该研究以"奇妙的颜色"课程为例，展示了DIE模式在科技馆色彩科学教育中的具体应用。</w:t>
      </w:r>
    </w:p>
    <w:p w14:paraId="2D630F6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刘慧高等学者以陕西科技馆"探究希罗喷泉"科学课程为例，探讨了科技馆教育活动中的科学探究实践。该课程以希罗喷泉展品为载体，引导学生通过观察、提问、假设、实验、论证等完整的科学探究过程，体验科学发现的乐趣。研究表明，基于展品的探究式教育活动能够有效提升学生的科学探究能力和科学兴趣。</w:t>
      </w:r>
    </w:p>
    <w:p w14:paraId="2F5E7E7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2.3.3  馆校合作研究</w:t>
      </w:r>
    </w:p>
    <w:p w14:paraId="08AD673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馆校合作是国内科技馆教育研究的热点议题。肖付莉（2025）以重庆科技馆馆校结合项目为例，系统研究了馆校合作开展科技馆科学教育的路径。该项目自2015年秋期实施，开发六大类别160余门课程资源，采用"菜单式"科普服务方式，四期服务学校66所，服务学生39187名，满意率100%。</w:t>
      </w:r>
    </w:p>
    <w:p w14:paraId="4D8ADC7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谢娟和刘水河（2021）提出了"馆校结合"科技馆教育活动的"参观前-中-后"三阶段学习模式：参观前在学校课堂进行预备知识学习，参观中在科技馆进行实地探究体验，参观后回到学校进行延伸学习。</w:t>
      </w:r>
    </w:p>
    <w:p w14:paraId="240F434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郝杏丽等学者对馆校结合的小学科学探究式学习活动设计进行了深入研究，提出了IADE学习单设计流程（Introduce引入→Activity活动→Discuss讨论→Extend拓展）。该研究以"我是大力士"活动为例，展示了如何通过馆校合作开展小学科学探究式学习。研究中梳理了国内外优秀的馆校合作案例，包括美国旧金山探索馆的"现场科学考察"、日本科学未来馆的"科学伙伴"项目、中国台湾科学教育馆的"科学列车"项目等，为我国馆校合作的深入发展提供了借鉴。</w:t>
      </w:r>
    </w:p>
    <w:p w14:paraId="03028F9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朱家华等学者对基于馆校合作的科技馆科学教育进行了系统研究，分析了馆校合作的理论基础、实践模式和保障机制，提出了建立制度化、常态化馆校合作机制的政策建议。</w:t>
      </w:r>
    </w:p>
    <w:p w14:paraId="35CA222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陈洁等学者探索了基于"综合、实践、探究"理念的馆、校、家合作小学科学教育活动，开发了家庭科学实验系列课程。该研究强调科技馆、学校和家庭三方协同，形成科学教育的合力，为拓展科技馆教育活动的覆盖面和影响力提供了新思路。</w:t>
      </w:r>
    </w:p>
    <w:p w14:paraId="6BA5291F">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2.3.4  认知心理学与教育设计研究</w:t>
      </w:r>
    </w:p>
    <w:p w14:paraId="7B2DAC4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近年来，认知心理学视角下的科技馆教育活动设计研究逐渐受到关注。王萍等学者的研究是该领域的代表性成果，该研究系统梳理了知觉、注意与记忆的发展特征及其对教育活动设计的启示，将皮亚杰认知发展阶段论、维果斯基社会文化理论、情境认知与学习理论、具身认知理论、图式理论等融入科技馆教育活动设计。</w:t>
      </w:r>
    </w:p>
    <w:p w14:paraId="410AD1A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该研究指出，儿童早期便具备整合跨感官通道信息的能力，针对低龄儿童，科技馆教育活动应设计多感官体验的活动，如将视觉观察、听觉反馈、触觉感知相结合，深化其对科学现象的认知。儿童的工作记忆容量有限，复杂信息被组块化处理更容易识记，长时记忆方面情景记忆和程序性记忆优于语义记忆，这有力支持了实践活动的理念——亲身的、情境化的体验远比抽象的文字或口头讲解更容易被编码和长久保持。</w:t>
      </w:r>
    </w:p>
    <w:p w14:paraId="78EE292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思维与学习方面，皮亚杰认知发展阶段论指出前运算阶段（2-7岁）儿童思维自我为中心，依赖感觉和动作，活动应侧重感官探索、体验、模仿和游戏化；具体运算阶段（7-11岁）儿童需要借助具体实物经验，是开展亲身操作的探究式体验活动的最佳时期；形式运算阶段（11岁以上）学生开始具备抽象思维和假设-演绎推理能力，可通过项目化学习鼓励其提出问题、做出假设并设计方案。</w:t>
      </w:r>
    </w:p>
    <w:p w14:paraId="7352DFF4">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2.4  现有研究的不足与本研究的定位</w:t>
      </w:r>
    </w:p>
    <w:p w14:paraId="4593E1C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综合国内外研究现状，可以发现当前研究存在以下不足：</w:t>
      </w:r>
    </w:p>
    <w:p w14:paraId="6CC190E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理论整合性不足。现有研究虽然分别探讨了建构主义、情境认知、探究式学习等理论在科技馆教育中的应用，但缺乏对这些理论的系统性整合，尚未形成一个能够全面指导科技馆教育活动设计与实施的整合性理论框架。特别是认知心理学理论在科技馆教育活动设计中的应用研究尚显薄弱。</w:t>
      </w:r>
    </w:p>
    <w:p w14:paraId="2F8161C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第二，研究方法单一。现有研究多采用横截面设计，缺乏纵向追踪研究，难以揭示教育活动效果的持续性。同时，定量研究与定性研究的结合不够紧密，混合研究方法的应用不够充分。</w:t>
      </w:r>
    </w:p>
    <w:p w14:paraId="6EA5010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第三，评估工具缺乏。国内尚缺乏标准化的科技馆教育活动学习成效评估工具，现有评估多依赖满意度调查等表层指标，缺乏对学习效果的多维度、深层次测量。</w:t>
      </w:r>
    </w:p>
    <w:p w14:paraId="27D7BFE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实践系统性不足。现有实践研究多关注单一维度（如馆校合作或数字化教育），缺乏对教育活动设计、实施、评估全链条的系统性研究。特别是STEM教育、创客教育与科技馆教育活动的深度融合研究仍需加强。</w:t>
      </w:r>
    </w:p>
    <w:p w14:paraId="0907173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第五，政策研究薄弱。关于科技馆功能配置标准、差异化发展路径等方面的政策研究相对薄弱，缺乏基于实证研究的政策建议。国际比较研究的深度和广度也有待拓展。</w:t>
      </w:r>
    </w:p>
    <w:p w14:paraId="517F92E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针对上述不足，以学习科学为理论视角，采用混合研究方法，从理论建构、方法创新、实践优化、政策保障四个维度对科技馆教育活动进行系统研究，旨在弥补现有研究的不足，推动我国科技馆教育事业的理论深化和实践发展。</w:t>
      </w:r>
    </w:p>
    <w:p w14:paraId="05FC1AE6">
      <w:pPr>
        <w:pStyle w:val="2"/>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第三章  理论框架：学习科学与科技馆教育的对接</w:t>
      </w:r>
      <w:bookmarkStart w:id="2" w:name="_Toc003"/>
      <w:bookmarkEnd w:id="2"/>
    </w:p>
    <w:p w14:paraId="6EC4C45F">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3.1  建构主义学习理论与科技馆教育实践</w:t>
      </w:r>
    </w:p>
    <w:p w14:paraId="20B9012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3.1.1  建构主义学习理论的核心要义</w:t>
      </w:r>
    </w:p>
    <w:p w14:paraId="4CA7A7E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建构主义学习理论是20世纪后期最具影响力的学习理论之一，其发展经历了从皮亚杰（Piaget）的认知建构主义到维果茨基（Vygotsky）的社会建构主义的演进过程。建构主义的核心观点认为，知识不是通过被动传递获得的，而是学习者在一定的情境即社会文化背景下，借助他人（包括教师和学习伙伴）的帮助，利用必要的学习资料，通过意义建构的方式主动获得的。</w:t>
      </w:r>
    </w:p>
    <w:p w14:paraId="776053A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建构主义学习理论的核心要义可以概括为以下五个方面：第一，学习是学习者主动建构内部心理表征的过程，这种建构不是简单的知识积累，而是涉及认知结构的重组和改造。第二，学习过程同时包含两方面的建构：一方面是对新信息的意义建构，另一方面是对原有经验的改造和重组。第三，学习者以自己的方式建构对事物的理解，不同的人看到事物的不同方面，不存在唯一标准的理解。第四，学习是在社会互动中完成的，学习者通过与他人的交流、协作和讨论来丰富和深化自己的理解。第五，情境是学习发生的重要条件，知识存在于具体的、情境性的、可感知的活动之中，抽象概念的学习应建立在具体经验的基础之上。</w:t>
      </w:r>
    </w:p>
    <w:p w14:paraId="44713F56">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3.1.2  建构主义视角下的科技馆学习特征</w:t>
      </w:r>
    </w:p>
    <w:p w14:paraId="7B0C1E8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从建构主义视角审视，科技馆学习具有区别于学校正规教育的独特特征。首先，科技馆学习是一种高度自主的建构过程。在科技馆中，学习者可以自由选择参观路线、停留时间和互动方式，这种高度的自主性使学习者能够根据自己的兴趣和先前经验来建构个性化的知识理解。Falk和Storksdieck（2005）的情境学习模型强调，博物馆学习是个人、社会与物理情境三者交互作用的结果，学习者在这种交互中主动建构对展品的理解。</w:t>
      </w:r>
    </w:p>
    <w:p w14:paraId="6927966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其次，科技馆学习是一种基于直接经验的意义建构。科技馆展品通过互动体验的方式，为学习者提供丰富的感知觉刺激和操作机会，使抽象的科学概念变得可感知、可操作。朱幼文等学者强调，"直接经验"是STEM教育与科技馆教育活动的共同要素之一，学习者通过亲身参与科学探究活动来获得直接经验，这是建构知识的重要基础。</w:t>
      </w:r>
    </w:p>
    <w:p w14:paraId="3EBD4C3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科技馆学习是一种社会性建构过程。家庭、同伴和博物馆教育工作者之间的互动对话是科技馆学习的重要组成部分。Leinhardt和Knutson（2004）的研究发现，家庭参观者之间的对话能够有效促进科学概念的理解和知识建构。博物馆教育工作者通过引导性提问、解释和反馈等方式，为学习者的知识建构提供"支架"（Scaffolding）支持。</w:t>
      </w:r>
    </w:p>
    <w:p w14:paraId="68276F43">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3.1.3  建构主义对科技馆教育活动设计的启示</w:t>
      </w:r>
    </w:p>
    <w:p w14:paraId="0755DD4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基于建构主义学习理论，科技馆教育活动设计应遵循以下原则：</w:t>
      </w:r>
    </w:p>
    <w:p w14:paraId="2EE8CF6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以学习者为中心。教育活动的设计应充分考虑学习者的年龄特征、认知水平、兴趣爱好和先前经验，为学习者提供多样化的选择和自主探索的空间。活动设计应避免单纯的知识灌输，而是通过创设问题情境激发学习者的探究欲望和建构动机。</w:t>
      </w:r>
    </w:p>
    <w:p w14:paraId="51D04D1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强调动手操作和亲身体验。教育活动应为学习者提供充分的操作机会，让学习者在"做"的过程中建构知识。朱幼文等学者强调，"科技实践"是科技馆STEM教育的基础条件和学习情境，学习者通过亲身参与科学探究活动来获得直接经验。</w:t>
      </w:r>
    </w:p>
    <w:p w14:paraId="52B4B50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促进社会互动和协作学习。教育活动应设计合作探究的环节，鼓励学习者之间、学习者与教育者之间的交流互动。可以通过小组实验、团队挑战、集体讨论等方式，营造协作学习的社会情境，促进学习者通过社会互动深化理解。</w:t>
      </w:r>
    </w:p>
    <w:p w14:paraId="09E6CF6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关注概念建构的深度。教育活动不应停留在表层的感官刺激和娱乐体验，而应引导学习者进行深层次的认知加工。通过精心设计的引导性问题、反思环节和概念整合活动，帮助学习者将分散的体验整合为系统的科学概念理解。</w:t>
      </w:r>
    </w:p>
    <w:p w14:paraId="1CC47FD5">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3.2  情境认知理论与科技馆学习情境的创设</w:t>
      </w:r>
    </w:p>
    <w:p w14:paraId="752042F9">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3.2.1  情境认知理论的基本观点</w:t>
      </w:r>
    </w:p>
    <w:p w14:paraId="4369B7C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情境认知理论（Situated Cognition Theory）是20世纪80年代末90年代初兴起的重要的学习理论，主要代表人物包括Brown、Collins和Duguid等。该理论的核心观点是：知识和认知活动不是孤立存在的，而是镶嵌于它们所发生的情境之中。知识的意义和认知过程的有效性都依赖于具体的情境条件，脱离情境的抽象知识往往是惰性的、难以迁移的。</w:t>
      </w:r>
    </w:p>
    <w:p w14:paraId="6ADC847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情境认知理论的基本观点可以概括为以下几个方面：第一，知识具有情境性。知识不是抽象的、去情境化的符号表征，而是在具体活动中生成和运用的行动能力。真正的知识存在于学习者参与的文化实践活动之中。第二，学习是参与实践共同体的过程。学习不仅是获取知识的过程，更是学习者从实践共同体的边缘参与者向核心成员转变的过程，即合法的边缘性参与（Legitimate Peripheral Participation）。第三，认知是分布式的。认知活动不仅发生在个体头脑中，还分布在整个社会-物质环境之中，包括工具、符号、他人以及社会文化规范等。</w:t>
      </w:r>
    </w:p>
    <w:p w14:paraId="25EFC4CA">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3.2.2  科技馆作为学习情境的独特优势</w:t>
      </w:r>
    </w:p>
    <w:p w14:paraId="7E1C27C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科技馆作为非正规科学教育的重要场所，在创设学习情境方面具有独特优势。首先，科技馆提供了真实的问题情境。科技馆展品以真实或模拟的科技装置为载体，将抽象的科学原理具象化，为学习者呈现科学知识的应用场景。这种真实性使学习者能够感受到科学知识与现实世界的联系，增强学习的意义感。</w:t>
      </w:r>
    </w:p>
    <w:p w14:paraId="355FEDD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其次，科技馆营造了沉浸式学习环境。通过空间设计、展品布局、光影效果、声音效果等多种手段，科技馆能够营造出身临其境的学习氛围，使学习者全身心投入到科学探索之中。王萍等学者指出，科技馆提供了一个类似于科学家探索世界的真实情境，应让学习者像科学家一样思考和工作。</w:t>
      </w:r>
    </w:p>
    <w:p w14:paraId="2F2B0ED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科技馆构建了实践共同体。科技馆汇聚了科学教育工作者、科研人员、志愿者、学生、家庭等多元参与者，形成了一个围绕科学传播的实践共同体。学习者在这个共同体中通过观察、模仿、参与和互动，逐渐掌握科学探究的方式和文化。</w:t>
      </w:r>
    </w:p>
    <w:p w14:paraId="31AC44A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科技馆提供了丰富的分布式认知资源。除了展品本身，科技馆还提供标签说明、互动屏幕、教育手册、移动应用等多种认知支持工具。这些工具与展品、教育者和其他学习者共同构成了分布式的认知系统，为学习者的知识建构提供全方位的支持。</w:t>
      </w:r>
    </w:p>
    <w:p w14:paraId="339F0A0E">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3.2.3  基于情境认知理论的教育活动设计策略</w:t>
      </w:r>
    </w:p>
    <w:p w14:paraId="590DA0D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基于情境认知理论，科技馆教育活动设计应采取以下策略：</w:t>
      </w:r>
    </w:p>
    <w:p w14:paraId="5F9FEA4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创设真实的探究情境。教育活动应以真实或模拟的科学问题为起点，将学习者置于需要运用科学知识解决问题的情境之中。例如，张彩霞等学者设计的"建设我的月球基地"活动，以真实的航天工程情境为背景，引导学习者运用跨学科知识解决实际问题。</w:t>
      </w:r>
    </w:p>
    <w:p w14:paraId="4FCFF59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构建实践共同体。教育活动应创造学习者与科学工作者、教育者、同伴之间的互动机会，营造协作探究的社群氛围。可以邀请科研人员参与活动、组织学习者团队协作、开展成果分享交流等方式来强化实践共同体的建设。</w:t>
      </w:r>
    </w:p>
    <w:p w14:paraId="7651BF0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提供分布式认知支持。教育活动应充分利用各种认知工具和资源，为学习者提供多层次的认知支持。包括设计结构化的活动手册、开发互动式移动应用、提供引导性提问卡片、建立线上线下一体化的学习资源平台等。</w:t>
      </w:r>
    </w:p>
    <w:p w14:paraId="527D578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促进情境迁移。教育活动应帮助学习者将在科技馆情境中习得的知识和技能迁移到其他情境中。可以通过设计延伸性的家庭实验、与学校课程的对接、提供后续学习资源推荐等方式，促进知识的跨情境迁移。</w:t>
      </w:r>
    </w:p>
    <w:p w14:paraId="31EFE4C3">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3.3  探究式学习理论与科技馆教育活动设计</w:t>
      </w:r>
    </w:p>
    <w:p w14:paraId="155E804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3.3.1  探究式学习的理论基础</w:t>
      </w:r>
    </w:p>
    <w:p w14:paraId="6FAB86E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探究式学习（Inquiry-Based Learning）是一种以问题为导向、以探究为核心的学习方式，强调学习者像科学家一样开展科学探究活动。探究式学习的理论基础可以追溯到杜威（Dewey）的"做中学"思想和布鲁纳（Bruner）的发现学习理论。20世纪60年代，施瓦布（Schwab）明确提出科学教育应注重探究过程而非仅仅传授科学知识。此后，探究式学习逐渐成为科学教育的核心理念。</w:t>
      </w:r>
    </w:p>
    <w:p w14:paraId="6C725AA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美国国家研究理事会（NRC）在《K-12科学教育框架》中明确提出了"科学与工程实践"的概念，强调学生应亲身参与科学探究实践。朱幼文等学者系统梳理了八种科学与工程实践：提出问题和定义问题、建构和使用模型、设计和实施调查、分析和解释数据、运用数学和计算思维、建构解释和设计解决方案、基于证据进行论证、获取评估和交流信息。这八种实践为科技馆教育活动的设计提供了具体的操作框架。</w:t>
      </w:r>
    </w:p>
    <w:p w14:paraId="0D0B2081">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3.3.2  5E学习环在科技馆教育中的应用</w:t>
      </w:r>
    </w:p>
    <w:p w14:paraId="55074CA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5E学习环（5E Learning Cycle）是探究式学习的经典教学模式，由Bybee等人提出，包括参与（Engagement）、探究（Exploration）、解释（Explanation）、迁移（Elaboration）和评价（Evaluation）五个阶段。于舰等学者探讨了5E学习环在科技馆教育中的应用，认为该模式与科技馆教育活动的特性高度契合。</w:t>
      </w:r>
    </w:p>
    <w:p w14:paraId="2B340DD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参与阶段通过创设问题情境激发学习者的好奇心和探究动机；探究阶段让学习者通过动手操作和亲身探索获取直接经验；解释阶段帮助学习者将探索中的发现与科学概念建立联系；迁移阶段引导学习者将新学到的知识应用到新的情境中；评价阶段对 learning outcomes 进行多维度评估。该研究以"大自然的恩赐"教案为例，展示了5E学习环在科技馆情境中的具体应用，为教育活动设计提供了可操作的模板。</w:t>
      </w:r>
    </w:p>
    <w:p w14:paraId="2C1537E7">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3.3.3  科技馆教育活动中探究式学习的实现路径</w:t>
      </w:r>
    </w:p>
    <w:p w14:paraId="3F3A69F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科技馆在开展探究式学习方面具有天然优势。朱幼文等学者指出，"探究式学习"是科技馆STEM教育的教学方法和核心过程。基于文献分析和实践观察，本研究总结出科技馆教育活动中探究式学习的四种实现路径：</w:t>
      </w:r>
    </w:p>
    <w:p w14:paraId="07CB9BE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第一，展品引导式探究。以展品为核心，通过设计引导性问题促使学习者观察展品现象、提出问题假设、进行实验验证。这种路径充分利用科技馆展品的互动性和趣味性，将探究过程自然融入参观体验之中。</w:t>
      </w:r>
    </w:p>
    <w:p w14:paraId="35ACFA6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第二，实验工作坊式探究。设置专门的实验区域，组织学习者进行系统的科学探究活动。这种路径通常围绕特定的科学主题展开，学习者可以在教育者的指导下完成完整的探究过程。</w:t>
      </w:r>
    </w:p>
    <w:p w14:paraId="6D04AC6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第三，项目式探究。以综合性项目为载体，组织学习者开展长期的、跨学科的探究活动。这种路径通常需要多个 session 的参与，学习者围绕一个开放性问题进行深入探究。</w:t>
      </w:r>
    </w:p>
    <w:p w14:paraId="2E7CAC9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数字模拟式探究。利用虚拟现实（VR）、增强现实（AR）、计算机模拟等技术，创设虚拟的探究情境，让学习者在数字环境中进行科学探究。傅子杰等学者以中国科技馆"创造我的机器人"教育活动为例，展示了智能技术如何赋能科技教育，通过编程、机器人制作等数字化手段促进探究式学习。</w:t>
      </w:r>
    </w:p>
    <w:p w14:paraId="4AECE414">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3.4  认知心理学视域下的教育活动设计</w:t>
      </w:r>
    </w:p>
    <w:p w14:paraId="6693071E">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3.4.1  认知心理学理论基础</w:t>
      </w:r>
    </w:p>
    <w:p w14:paraId="3AFA730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认知心理学作为一门研究人如何获取、存储、加工和运用信息的科学，深刻揭示了学习的内在心理机制。王萍等学者指出，将认知心理学知识应用到科技馆科普实践中，能从"研"的层面揭示学习发生的底层机制，为教育活动设计提供科学依据。本节系统梳理与科技馆教育活动设计密切相关的认知心理学理论。</w:t>
      </w:r>
    </w:p>
    <w:p w14:paraId="64CEADB6">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3.4.2  具身认知理论</w:t>
      </w:r>
    </w:p>
    <w:p w14:paraId="4E3AF86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具身认知（Embodied Cognition）是认知心理学领域的新兴概念，强调认知依赖于身体及其与环境的互动，个体通过身处其中来进行学习。王萍等学者指出，动手、调动身心，即是动脑，身体体验是抽象概念形成的基石。这一理论为科技馆教育活动注重动手操作提供了坚实的科学基础。</w:t>
      </w:r>
    </w:p>
    <w:p w14:paraId="5EF4ADC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具身认知理论对科技馆教育活动设计的启示在于：第一，教育活动应设计充分的动手操作环节，让学习者通过身体动作和感官体验来建构对科学概念的理解；第二，多感官的协同参与能够加深认知编码，教育活动应整合视觉、听觉、触觉等多种感官通道；第三，身体姿态和动作会影响认知过程，教育活动应创设让学习者能够自由移动、主动探索的空间环境。</w:t>
      </w:r>
    </w:p>
    <w:p w14:paraId="0C04F47D">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3.4.3  信息加工理论与记忆机制</w:t>
      </w:r>
    </w:p>
    <w:p w14:paraId="617462A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信息加工理论将人脑比作计算机，认为学习是一个信息输入、编码、存储和提取的过程。该理论揭示了以下对教育活动设计具有重要启示的记忆机制：</w:t>
      </w:r>
    </w:p>
    <w:p w14:paraId="00CB5CD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首先，儿童的工作记忆容量有限，复杂信息被组块（Chunking）化处理更容易识记。王萍等学者指出，科技馆教育活动应将复杂的科学知识分解为可操作的组块，通过"短平快"的方式降低学习者的认知负荷。</w:t>
      </w:r>
    </w:p>
    <w:p w14:paraId="125552B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其次，在长时记忆方面，情景记忆和程序性记忆优于语义记忆。这有力支持了实践活动的理念——亲身的、情境化的体验远比抽象的文字或口头讲解更容易被编码和长久保持，更容易从工作记忆转为长时记忆。</w:t>
      </w:r>
    </w:p>
    <w:p w14:paraId="210EE59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第三，认知负荷理论（Cognitive Load Theory）指出，工作记忆的资源有限，教育活动设计应控制外在认知负荷（如无关的装饰和噪音）、优化相关认知负荷（如 scaffolding 的设计），并促进生成性认知负荷（如深层加工和概念建构）。</w:t>
      </w:r>
    </w:p>
    <w:p w14:paraId="485841C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3.4.4  图式理论与概念建构</w:t>
      </w:r>
    </w:p>
    <w:p w14:paraId="73A0BC2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图式理论认为，学习是新信息与原有知识结构（图式）相互作用的过程。新旧信息之间进行同化、顺应，激活旧的知识，建立联系、形成新的图式。王萍等学者指出，在科技馆教育活动结束后，建议采用概念图等可视化工具系统梳理核心概念，通过具象化表征促进学习者对新知识和已有认知图式的深度整合，这一过程符合以脑为导向的教学模式中"知识锚定"原则，能够有效激活海马体的记忆编码机制，强化突触可塑性。</w:t>
      </w:r>
    </w:p>
    <w:p w14:paraId="1BCC2AE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图式理论对教育活动设计的启示包括：第一，教育活动应激活学习者已有的知识图式，通过链接经验引发认知冲突来激发学习动机；第二，新知识的呈现应与已有图式建立清晰的联系，避免认知断裂；第三，教育活动应帮助学习者形成系统化、结构化的知识图式，而非碎片化的信息堆积。</w:t>
      </w:r>
    </w:p>
    <w:p w14:paraId="43BBB2AC">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3.4.5  皮亚杰认知发展阶段论</w:t>
      </w:r>
    </w:p>
    <w:p w14:paraId="72C662C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尽管现代理论认为发展是连续体，但皮亚杰的认知发展阶段理论仍具有重要参考价值。王萍等学者将其应用于科技馆教育活动设计，指出：前运算阶段（2-7岁）儿童思维自我为中心，依赖感觉和动作，活动应侧重感官探索、体验、模仿和游戏化，避免逻辑说教推理；具体运算阶段（7-11岁）儿童需要借助具体实物经验，尚未形成逻辑推理能力，是开展亲身操作的探究式体验活动的最佳时期，实验材料应是熟悉的实物；形式运算阶段（11岁以上）学生开始具备抽象思维和假设-演绎推理能力，可通过项目化学习，鼓励学生提出问题、做出假设，并设计方案。</w:t>
      </w:r>
    </w:p>
    <w:p w14:paraId="374B2CD6">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3.4.6  "四维五步"（ACPRE）教育活动设计模型</w:t>
      </w:r>
    </w:p>
    <w:p w14:paraId="6DA3CDA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基于上述认知心理学理论，王萍等学者构建了"四维五步"（ACPRE）的科技馆教育活动设计策略框架。"四维"指活动目标应统筹兼顾以下四个维度：</w:t>
      </w:r>
    </w:p>
    <w:p w14:paraId="2F51027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认知功能奠基。关注学习所需的底层认知能力，如注意力、工作记忆、执行功能等，此维度旨在优化学习的硬件系统，为高阶思维奠定基础。例如，临沂市科技馆的"脑科学训练营"通过"找不同""听觉数字广度""视觉广度""听动协调训练"等游戏化任务，训练学生的注意力分配、工作记忆广度、认知灵活性等核心执行功能。</w:t>
      </w:r>
    </w:p>
    <w:p w14:paraId="2A5054D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科学概念建构。科技馆教育的核心，帮助学习者围绕核心科学概念，形成深刻、可迁移的正确图式。例如，"科学玩家"系列活动针对小学生开展科学探究活动，以"洗完菜以后菜叶上的水如何变干？""可以甩干，什么方法最快？"等问题激发探究欲望，通过制作甩干机的实践活动理解离心力概念。</w:t>
      </w:r>
    </w:p>
    <w:p w14:paraId="349F429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心理情感融入。关注学习中的非智力因素，如好奇心、求知欲、抗挫折能力、合作精神等。例如，"身心奇旅"系列活动面向亲子家庭，通过沙盘游戏认识情绪，培养社会情绪能力，为科学学习营造积极的心理环境。</w:t>
      </w:r>
    </w:p>
    <w:p w14:paraId="415CF8B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科学融合应用。将单一的知识点延伸为综合应用的项目，并致力于解决真实日常生活中的问题。例如，青少年科创赛事活动将竞赛重塑为基于项目式学习（PBL）的、深度应用认知心理学原理的长期探究过程。</w:t>
      </w:r>
    </w:p>
    <w:p w14:paraId="1E84CAC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五步"指活动实施的具体操作模型：激活（Activate）——链接经验，制造冲突，激发探究动机；组块（Chunk）——分解任务，搭建脚手架，将复杂问题分解为可操作的步骤；实践（Practice）——具身经验，主动探究，通过多感官互动和亲手操作促进深度编码；反思（Reflect）——引导提炼，形成图式，将具体经验上升为抽象概念；拓展（Extend）——创设情境，迁移应用，在新情境中应用新知。</w:t>
      </w:r>
    </w:p>
    <w:p w14:paraId="44A05294">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3.5  "情境-探究-建构"理论模型的构建</w:t>
      </w:r>
    </w:p>
    <w:p w14:paraId="2FD1C47E">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3.5.1  模型构建的理论基础</w:t>
      </w:r>
    </w:p>
    <w:p w14:paraId="597A62E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前四节的分析，本研究认为建构主义学习理论、情境认知理论、探究式学习理论和认知心理学理论虽然在理论渊源和关注焦点上有所不同，但它们在本质上是互补的、可以整合的。建构主义回答了"学习如何发生"的问题，情境认知理论阐明了"学习在哪里发生"的问题，探究式学习理论则指明了"学习以何种方式发生"的问题，认知心理学揭示了"学习的内在机制是什么"的问题。四个理论共同构成了理解科技馆学习的完整理论图景。</w:t>
      </w:r>
    </w:p>
    <w:p w14:paraId="7B237D7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以这四个理论为基础，构建了"情境-探究-建构"（Context-Inquiry-Construction，简称CIC）三位一体的理论模型，并辅以认知心理学的ACPRE设计模型作为操作化工具。该模型旨在为科技馆教育活动的设计、实施和评估提供整合性的理论框架，阐明科技馆学习的发生机制，指导教育活动的系统优化。</w:t>
      </w:r>
    </w:p>
    <w:p w14:paraId="0BE372DD">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3.5.2  模型的结构与要素</w:t>
      </w:r>
    </w:p>
    <w:p w14:paraId="56F5DFB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"情境-探究-建构"模型由三个核心维度构成，每个维度包含若干关键要素：</w:t>
      </w:r>
    </w:p>
    <w:p w14:paraId="554FFAB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维度：情境（Context）。情境维度关注学习发生的环境条件，包括物理情境（展品的互动性、空间布局、感官刺激等）、社会情境（家庭互动、同伴协作、教育者引导等）和文化情境（科学文化氛围、科技馆教育理念等）。情境维度为学习提供了"在哪里学"的基础条件，是触发学习动机和支持认知过程的重要保障。</w:t>
      </w:r>
    </w:p>
    <w:p w14:paraId="31B03B4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维度：探究（Inquiry）。探究维度关注学习的过程与方法，包括问题驱动、假设检验、证据收集、分析解释、交流反思等探究环节。探究维度规定了"如何学"的方式路径，是连接情境体验与知识建构的桥梁。本研究将NRC提出的八种科学与工程实践整合到探究维度中，为教育活动设计提供了具体的操作框架。</w:t>
      </w:r>
    </w:p>
    <w:p w14:paraId="7C2E9FB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第三维度：建构（Construction）。建构维度关注学习的结果与产出，包括概念理解、技能获得、态度转变、身份认同等学习成果。建构维度体现了"学到什么"的目标达成，是情境体验和探究过程的综合效应。</w:t>
      </w:r>
    </w:p>
    <w:p w14:paraId="36E5F19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3.5.3  模型的运行机制</w:t>
      </w:r>
    </w:p>
    <w:p w14:paraId="12A82AE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CIC模型的运行机制可以用"三螺旋递进"来描述：情境激发探究，探究促进建构，建构反哺情境。具体而言：</w:t>
      </w:r>
    </w:p>
    <w:p w14:paraId="74A8232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情境激发探究。科技馆精心设计的物理情境（如互动展品、沉浸式空间）激发学习者的好奇心和探究欲望；社会情境（如家庭对话、同伴协作）提供探究的动机支持和认知支架；文化情境（如科学文化氛围）赋予探究活动意义感和价值感。</w:t>
      </w:r>
    </w:p>
    <w:p w14:paraId="4AA6BDB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探究促进建构。在情境激发的驱动下，学习者开展探究活动，通过问题提出、实验操作、数据收集、分析推理等过程，对科学概念进行深度加工，建构个人化的知识理解。探究过程不仅促进了认知建构，还培养了科学方法和科学思维。</w:t>
      </w:r>
    </w:p>
    <w:p w14:paraId="6150AF7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建构反哺情境。学习者的知识建构成果会丰富其参观体验，使其能够更深入地理解和利用科技馆情境。成功的建构体验会增强学习者的科学自我效能感，激发其再次参与科技馆学习的意愿，形成正向的学习循环。</w:t>
      </w:r>
    </w:p>
    <w:p w14:paraId="625D23FB">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3.5.4  CIC模型与ACPRE模型的整合应用</w:t>
      </w:r>
    </w:p>
    <w:p w14:paraId="7BBD10F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将CIC理论模型与ACPRE设计模型进行整合，形成了从理论到实践的完整链条。CIC模型从宏观层面阐明了科技馆学习的发生机制和关键要素，为教育活动设计提供了理论指导；ACPRE模型从操作层面提供了具体的设计步骤和策略，为理论的应用落地提供了工具支持。</w:t>
      </w:r>
    </w:p>
    <w:p w14:paraId="5EB7FC0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具体应用中，CIC模型指导教育活动设计应同时考虑三个维度的要求：在情境维度上，应创设富有吸引力和认知支持的学习环境；在探究维度上，应设计完整而有深度的探究过程；在建构维度上，应明确预期的学习成果并提供相应的评估方式。ACPRE模型则为每个维度的具体实现提供了操作路径：通过激活环节触发情境效应，通过组块和实践环节组织探究过程，通过反思和拓展环节促进意义建构。</w:t>
      </w:r>
    </w:p>
    <w:p w14:paraId="43F1EB7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这种整合应用的优势在于：既保证了教育活动设计的理论深度，又增强了实践操作的落地性；既关注了学习过程的完整性，又强调了认知机制的科学性。通过两个模型的整合应用，科技馆教育活动能够实现从"经验驱动"向"理论驱动"的转变，从"活动导向"向"学习导向"的升华。</w:t>
      </w:r>
    </w:p>
    <w:p w14:paraId="32C8F84A">
      <w:pPr>
        <w:pStyle w:val="2"/>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第四章  研究方法：纵向追踪与混合研究设计</w:t>
      </w:r>
      <w:bookmarkStart w:id="3" w:name="_Toc004"/>
      <w:bookmarkEnd w:id="3"/>
    </w:p>
    <w:p w14:paraId="328A21A3">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4.1  研究设计总体框架</w:t>
      </w:r>
    </w:p>
    <w:p w14:paraId="5629E5BF">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4.1.1  混合研究方法的选择</w:t>
      </w:r>
    </w:p>
    <w:p w14:paraId="69D4EEB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本研究采用混合研究方法（Mixed Methods Research），将定量研究与定性研究相结合，以实现研究问题的多维度、多层次回答。Creswell和Plano Clark（2017）将混合研究方法定义为"在一个研究项目或一系列研究项目中收集、分析和整合定量数据与定性数据的研究设计"。混合研究方法的优势在于能够整合两种研究范式的优点，弥补单一方法的不足，提供更全面、更深入的研究发现。</w:t>
      </w:r>
    </w:p>
    <w:p w14:paraId="1E2BBFB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选择混合研究方法的理由如下：第一，研究问题的复杂性要求多元方法。科技馆教育活动的效果涉及知识、技能、态度、行为等多个维度，单一方法难以全面捕捉。第二，理论建构与验证的双重需要。研究既需要通过定性方法深入理解学习过程，又需要通过定量方法验证理论假设。第三，研究过程的迭代性要求。混合方法允许研究者在不同阶段根据初步发现调整研究策略，实现研究设计的迭代优化。</w:t>
      </w:r>
    </w:p>
    <w:p w14:paraId="12036DE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本研究采用Creswell提出的"聚敛式并行设计"（Convergent Parallel Design）的变体，具体设计如下：首先，通过文献研究和理论分析构建CIC理论模型和ACPRE设计模型；其次，通过定性研究（访谈、观察）深入理解科技馆学习的过程和机制；然后，通过定量研究（问卷调查、实验设计）验证理论假设和评估教育效果；最后，将定性发现与定量结果进行整合，形成完整的研究结论。</w:t>
      </w:r>
    </w:p>
    <w:p w14:paraId="0D28BCEB">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bookmarkStart w:id="8" w:name="_GoBack"/>
      <w:bookmarkEnd w:id="8"/>
      <w:r>
        <w:rPr>
          <w:rFonts w:hint="eastAsia" w:ascii="宋体" w:hAnsi="宋体" w:eastAsia="宋体" w:cs="宋体"/>
          <w:color w:val="auto"/>
        </w:rPr>
        <w:t>4.1.2  研究场域与对象</w:t>
      </w:r>
    </w:p>
    <w:p w14:paraId="706DDFB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选取三个具有代表性的科技馆作为主要研究场域：A科技馆（省级大型综合性科技馆）、B科技馆（市级中型科技馆）和C科技馆（县级小型科技馆）。三个场馆在规模、定位、资源条件等方面存在差异，能够反映不同层级科技馆的真实状况。</w:t>
      </w:r>
    </w:p>
    <w:p w14:paraId="19578BD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研究对象包括四类群体：（1）参与教育活动的学生群体（小学4-6年级和初中1-2年级），作为教育活动的主要受众；（2）学校教师，作为馆校合作的参与者；（3）科技馆教育工作者，作为教育活动的设计者和实施者；（4）家长，作为家庭学习的重要参与者。</w:t>
      </w:r>
    </w:p>
    <w:p w14:paraId="1D6456B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4.1.3  研究伦理</w:t>
      </w:r>
    </w:p>
    <w:p w14:paraId="6FBE27E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严格遵守教育研究伦理规范。研究开始前，向所有参与者（或其监护人）说明研究目的、程序、可能的风险和获益，获取书面知情同意。研究过程中，保护参与者的隐私和个人信息，所有数据匿名化处理。参与者有权随时退出研究而不会受到任何不利影响。研究方案已通过所在大学伦理委员会审批。</w:t>
      </w:r>
    </w:p>
    <w:p w14:paraId="1E9ACC44">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4.2  纵向追踪研究方法</w:t>
      </w:r>
    </w:p>
    <w:p w14:paraId="486B4833">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4.2.1  纵向追踪研究的设计</w:t>
      </w:r>
    </w:p>
    <w:p w14:paraId="46D517E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纵向追踪研究（Longitudinal Study）是指在多个时间点上对同一组被试进行重复测量的研究设计。与横截面研究相比，纵向研究能够揭示变量的发展变化趋势、因果关系和时间序列关系，特别适合考察教育活动效果的持续性。</w:t>
      </w:r>
    </w:p>
    <w:p w14:paraId="7ACF45D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的纵向追踪设计包含四个测量时间点：T0（教育活动前一周，基线测量）、T1（教育活动结束后即刻）、T2（教育活动结束后一个月）和T3（教育活动结束后三个月）。通过多时间点的追踪测量，能够考察教育活动的即时效果、短期效果和中期效果，揭示效果的持续性及其变化规律。</w:t>
      </w:r>
    </w:p>
    <w:p w14:paraId="1FD4CF9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追踪样本的确定采用目的性抽样与自愿参与相结合的方式。从三个研究场域中选取参与特定教育活动（基于CIC模型和ACPRE模型设计的STEM探究活动）的学生群体作为追踪对象，同时设立未参与该活动的对照组。实验组和对照组在年龄、年级、学业成绩等方面进行匹配，以增强比较的合理性。最终确定追踪样本为实验组180人、对照组150人。</w:t>
      </w:r>
    </w:p>
    <w:p w14:paraId="769EA757">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4.2.2  数据收集与分析</w:t>
      </w:r>
    </w:p>
    <w:p w14:paraId="766EE30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每个时间点，采用标准化的评估量表对实验组和对照组进行测量。测量内容包括科学素养、科学兴趣、探究能力和学习体验四个维度。数据收集由经过培训的研究助理在标准化条件下完成，确保数据质量的一致性。</w:t>
      </w:r>
    </w:p>
    <w:p w14:paraId="2CFC64D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数据分析采用多层线性模型（Hierarchical Linear Model, HLM）处理纵向数据的层次结构问题。HLM能够有效处理个体间的差异和时间点的嵌套关系，提供对个体发展趋势和群体差异的精确估计。同时，采用重复测量方差分析（Repeated Measures ANOVA）检验实验组与对照组在不同时间点上的差异。</w:t>
      </w:r>
    </w:p>
    <w:p w14:paraId="4AD61D30">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4.2.3  追踪研究的挑战与应对</w:t>
      </w:r>
    </w:p>
    <w:p w14:paraId="2106724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纵向追踪研究面临的主要挑战是样本流失（Attrition）。为降低样本流失率，研究采取了以下措施：与学校建立良好的合作关系，将追踪研究纳入学校科学教育活动计划；保持与研究对象的定期联系，增强参与者的归属感；提供适当的学习激励（如科技馆免费参观券、科普图书等）；采用多种追踪手段（学校回访、线上问卷、电话访谈等）确保数据的完整性。</w:t>
      </w:r>
    </w:p>
    <w:p w14:paraId="6EA0581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最终，实验组有156人完成了全部四个时间点的测量（流失率13.3%），对照组有128人完成了全部测量（流失率14.7%）。对流失样本和完成样本的特征比较未发现系统性差异，表明样本流失对研究结论的影响有限。</w:t>
      </w:r>
    </w:p>
    <w:p w14:paraId="30FF13AE">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4.3  混合研究方法的设计与实施</w:t>
      </w:r>
    </w:p>
    <w:p w14:paraId="7F363674">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4.3.1  定量研究部分</w:t>
      </w:r>
    </w:p>
    <w:p w14:paraId="1E50660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定量研究部分主要包括以下内容：</w:t>
      </w:r>
    </w:p>
    <w:p w14:paraId="095637E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准实验研究。在三个研究场域分别设置实验组和对照组，实验组参与基于CIC模型和ACPRE模型设计的教育活动，对照组参与常规参观活动。采用前后测设计，比较两组在科学素养、科学兴趣、探究能力等变量上的变化差异，以验证理论模型的有效性。</w:t>
      </w:r>
    </w:p>
    <w:p w14:paraId="7B48D73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第二，问卷调查。在更大样本范围内（三个场馆共1200名参与者）开展问卷调查，获取教育活动的整体效果数据。问卷包括学习者自评量表和教师/家长他评量表，从多个视角评估教育活动的效果。</w:t>
      </w:r>
    </w:p>
    <w:p w14:paraId="7424B18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第三，统计分析。采用描述性统计、t检验、方差分析、相关分析、回归分析等统计方法处理数据，检验研究假设。使用SPSS 26.0和Mplus 8.0进行数据分析。</w:t>
      </w:r>
    </w:p>
    <w:p w14:paraId="4F39E0D1">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4.3.2  定性研究部分</w:t>
      </w:r>
    </w:p>
    <w:p w14:paraId="06F7F9F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定性研究部分主要包括以下内容：</w:t>
      </w:r>
    </w:p>
    <w:p w14:paraId="67B3852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半结构化访谈。对科技馆教育工作者（12人）、学校教师（15人）、学生（24人）和家长（18人）进行半结构化访谈，深入了解教育活动的实施过程、参与者的学习体验和影响因素。访谈时间约40-60分钟，经受访者同意后录音，随后转录为文本进行编码分析。</w:t>
      </w:r>
    </w:p>
    <w:p w14:paraId="71B7038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第二，参与式观察。研究者作为非参与观察者，对教育活动进行实地观察，记录活动的组织实施、参与者的行为表现和互动情况。观察记录采用结构化观察表和开放式田野笔记相结合的方式。</w:t>
      </w:r>
    </w:p>
    <w:p w14:paraId="3CEC138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第三，焦点小组访谈。组织学生焦点小组（每组5-6人，共6组），围绕教育活动的体验、收获和建议进行深入讨论。焦点小组访谈能够激发参与者之间的互动，获取比个体访谈更丰富的信息。</w:t>
      </w:r>
    </w:p>
    <w:p w14:paraId="0CEFF70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定性数据分析采用主题分析法（Thematic Analysis）。首先进行开放编码，提取文本中的关键概念和主题；然后进行轴心编码，建立主题之间的关联；最后进行选择性编码，整合为核心主题。使用NVivo 12辅助编码和主题提取过程。</w:t>
      </w:r>
    </w:p>
    <w:p w14:paraId="7E5B601E">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4.3.3  定量与定性数据的整合</w:t>
      </w:r>
    </w:p>
    <w:p w14:paraId="545A590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定量数据与定性数据的整合采用"合并"（Merging）和"嵌入"（Embedding）两种策略。合并策略指在分析和解释阶段将两类数据进行并列比较，检验定量结果与定性发现的一致性和互补性。嵌入策略指在主要的数据收集和分析框架中嵌入另一类数据，如在实验研究的设计中嵌入定性观察以深入理解实验效果的机制。</w:t>
      </w:r>
    </w:p>
    <w:p w14:paraId="6DAF3EB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数据整合的最终目标是实现"三角验证"（Triangulation），通过多源数据的交叉验证增强研究结论的可信度。当定量结果与定性发现一致时，增强了结论的可靠性；当两者存在差异时，为深入分析提供了新的线索。</w:t>
      </w:r>
    </w:p>
    <w:p w14:paraId="55661796">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4.4  学习成效评估工具的构建与验证</w:t>
      </w:r>
    </w:p>
    <w:p w14:paraId="1EB08EB9">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4.4.1  评估工具的开发思路</w:t>
      </w:r>
    </w:p>
    <w:p w14:paraId="7B8F081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基于CIC理论模型和非正式STEM教育的成果框架，本研究开发了"科技馆教育活动学习成效评估量表"（Science Museum Educational Activity Learning Outcomes Scale, SMEALOS）。该量表包含四个子量表：科学素养评估量表（Scientific Literacy Scale, SLS）、科学兴趣评估量表（Science Interest Scale, SIS）、探究能力评估量表（Inquiry Ability Scale, IAS）和学习体验评估量表（Learning Experience Scale, LES）。</w:t>
      </w:r>
    </w:p>
    <w:p w14:paraId="154AEED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量表开发遵循以下步骤：首先，基于文献分析和理论框架确定各维度的操作化定义和指标体系；其次，编制初始题项池，邀请专家和一线教育工作者对题项进行内容效度评定；然后，进行小样本预测试，通过项目分析和探索性因子分析筛选题项；最后，进行大样本正式测试，通过验证性因子分析确认量表的结构效度。</w:t>
      </w:r>
    </w:p>
    <w:p w14:paraId="26B4896B">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4.4.2  各子量表的构成</w:t>
      </w:r>
    </w:p>
    <w:p w14:paraId="48BAC47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科学素养评估量表（SLS）测量参与者对科学概念、科学原理和科学方法的理解与运用能力。包含"科学知识""科学方法""科学态度"三个因子，共15个题项。示例题项："我能运用在科技馆学到的知识解释生活中的科学现象。"</w:t>
      </w:r>
    </w:p>
    <w:p w14:paraId="3C8232D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科学兴趣评估量表（SIS）测量参与者对科学的兴趣水平和内在动机。包含"科学兴趣""学习动机""持续参与意愿"三个因子，共12个题项。示例题项："我对探索科学问题充满热情。"</w:t>
      </w:r>
    </w:p>
    <w:p w14:paraId="0413A2D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探究能力评估量表（IAS）测量参与者开展科学探究活动的能力。包含"问题提出""实验设计""数据分析""论证交流"四个因子，共16个题项。示例题项："我能根据观察到的现象提出可探究的科学问题。"</w:t>
      </w:r>
    </w:p>
    <w:p w14:paraId="4B40A5F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学习体验评估量表（LES）测量参与者对教育活动的整体体验评价。包含"参与满意度""认知挑战""社交互动""情感体验"四个因子，共14个题项。示例题项："这次教育活动让我感到科学学习是一件有趣的事。"</w:t>
      </w:r>
    </w:p>
    <w:p w14:paraId="69FC3CCB">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4.4.3  量表的心理测量学检验</w:t>
      </w:r>
    </w:p>
    <w:p w14:paraId="7B4D6E4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对正式测试数据（N=658）进行心理测量学检验。信度检验结果显示，四个子量表的Cronbach's Alpha系数分别为：SLS 0.92、SIS 0.89、IAS 0.94、LES 0.90，均在可接受范围内。验证性因子分析结果显示，各子量表的结构模型拟合良好（CFI&gt;0.90, TLI&gt;0.90, RMSEA&lt;0.08, SRMR&lt;0.08），表明量表具有良好的结构效度。</w:t>
      </w:r>
    </w:p>
    <w:p w14:paraId="0617B06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此外，通过相关分析检验量表的效标关联效度。结果显示，各子量表与学业成绩、科学课程参与度等效标变量之间呈显著正相关（p&lt;0.01），表明量表能够有效预测相关的学习表现。总体而言，SMEALOS具有良好的信度和效度，可以作为科技馆教育活动学习成效的标准化评估工具。</w:t>
      </w:r>
    </w:p>
    <w:p w14:paraId="0F78E38B">
      <w:pPr>
        <w:pStyle w:val="2"/>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第五章  实践研究：教育活动的开发与实施</w:t>
      </w:r>
      <w:bookmarkStart w:id="4" w:name="_Toc005"/>
      <w:bookmarkEnd w:id="4"/>
    </w:p>
    <w:p w14:paraId="0A98C00D">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5.1  基于展品的教育活动开发</w:t>
      </w:r>
    </w:p>
    <w:p w14:paraId="1949A381">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5.1.1  展品教育资源的教育价值分析</w:t>
      </w:r>
    </w:p>
    <w:p w14:paraId="5E5C9F1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展品是科技馆教育活动的核心资源，是区别于其他教育机构的重要特色。朱幼文等学者强调，基于展品的教育活动是科技馆"最重要、最基本的教育活动"，是"展览运行的核心工作"。从教育价值角度看，展品资源具有以下独特优势：</w:t>
      </w:r>
    </w:p>
    <w:p w14:paraId="642FDC3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直观性。展品将抽象的科学原理具象化，使学习者能够通过视觉、听觉、触觉等多种感官通道直接感知科学现象，降低了科学理解的认知门槛。研究表明，多感官参与的学习比单一感官通道的学习效果更好，记忆保持更持久。</w:t>
      </w:r>
    </w:p>
    <w:p w14:paraId="00D7918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互动性。科技馆展品通常设计有互动操作环节，学习者可以通过动手操作来探索科学规律，体验"发现"的乐趣。这种互动性符合建构主义关于"知识来源于活动"的基本主张，也符合具身认知理论关于"身体体验是抽象概念形成基石"的观点。</w:t>
      </w:r>
    </w:p>
    <w:p w14:paraId="5459739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第三，情境性。展品通常布置在精心设计的情境之中，通过空间布局、辅助说明、多媒体展示等手段营造沉浸式的学习环境，有助于学习者将科学知识与具体情境联系起来，增强知识的意义感和应用性。</w:t>
      </w:r>
    </w:p>
    <w:p w14:paraId="39B4C0F2">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5.1.2  基于CIC-ACPRE模型的教育活动开发流程</w:t>
      </w:r>
    </w:p>
    <w:p w14:paraId="088379E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基于CIC理论模型和ACPRE设计模型，本研究提出了"分析-设计-开发-实施-评估"（Analysis-Design-Development-Implementation-Evaluation, ADDIE）的系统化教育活动开发流程，具体包括以下步骤：</w:t>
      </w:r>
    </w:p>
    <w:p w14:paraId="247DC25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步：展品分析（Analysis）。从教育角度对展品进行深入分析，明确展品所蕴含的科学概念、科学原理和探究空间。分析内容涵盖：展品的科学主题归属、涉及的核心概念和跨学科概念、可开展的探究活动类型、适合的目标受众群体、与课程标准的对应关系等。</w:t>
      </w:r>
    </w:p>
    <w:p w14:paraId="70A391F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步：活动设计（Design）。基于CIC-ACPRE模型进行教育活动的系统设计。在目标维度上，统筹考虑认知功能奠基、科学概念建构、心理情感融入和科学融合应用四个维度；在实施步骤上，设计激活（Activate）→组块（Chunk）→实践（Practice）→反思（Reflect）→拓展（Extend）五个环节。</w:t>
      </w:r>
    </w:p>
    <w:p w14:paraId="4BDB5A2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步：资源开发（Development）。开发教育活动所需的各种资源，包括活动方案、学生手册、教师指南、评估工具、数字资源等。资源开发应充分考虑不同年龄段学习者的认知特点和操作能力，遵循认知负荷理论，确保资源的适用性和易用性。</w:t>
      </w:r>
    </w:p>
    <w:p w14:paraId="2DA67D3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第四步：试点实施（Implementation）。选择代表性场馆进行小规模试点，收集实施过程中的数据和反馈，检验活动方案的可行性和有效性。</w:t>
      </w:r>
    </w:p>
    <w:p w14:paraId="02F5558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第五步：评估改进（Evaluation）。基于评估数据和反馈信息对活动方案进行修订完善，形成可推广的最终版本。评估采用过程性评估、总结性评估和延时性评估相结合的方式。</w:t>
      </w:r>
    </w:p>
    <w:p w14:paraId="76857A36">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5.1.3  融合STEM理念的教育活动设计案例</w:t>
      </w:r>
    </w:p>
    <w:p w14:paraId="54B4029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以"建设我的月球基地"教育活动为例，展示基于CIC-ACPRE模型和STEM理念的教育活动设计方案。该活动以航天科学展品为核心载体，面向小学5-6年级学生，目标是通过月球基地设计活动培养学生的工程设计思维和跨学科整合能力。</w:t>
      </w:r>
    </w:p>
    <w:p w14:paraId="1DC4F14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目标维度上，活动统筹考虑了四个维度：认知功能奠基（通过信息筛选和方案设计训练工作记忆和认知灵活性）、科学概念建构（理解月球环境特征、生命支持系统原理等核心科学概念）、心理情感融入（激发对航天科学的兴趣和探索精神）、科学融合应用（综合运用科学、技术、工程和数学知识解决真实问题）。</w:t>
      </w:r>
    </w:p>
    <w:p w14:paraId="4DD78A5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实施步骤上，活动设计了完整的ACPRE流程：激活（Activate）阶段通过播放月球探索视频和展示月球表面展品，引发学生对月球居住的好奇心和探究动机；组块（Chunk）阶段将"建设月球基地"分解为选址分析、建筑设计、能源供给、生命支持四个子任务，提供结构化的学习支架；实践（Practice）阶段学生分组利用提供的材料制作月球基地模型，亲身体验工程设计过程；反思（Reflect）阶段各组展示成果并进行论证交流，通过概念图梳理核心知识；拓展（Extend）阶段引导学生思考月球基地技术如何应用于地球极端环境居住，实现知识迁移。</w:t>
      </w:r>
    </w:p>
    <w:p w14:paraId="1507BB3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该活动的STEM课程开发遵循了"科学实践主题提取→跨学科概念和核心概念梳理→基于实践的建构主义教学设计→学习评价"的流程。在跨学科概念梳理中，明确了"系统与系统模型""能量与物质"等跨学科概念，以及"地球在宇宙中的位置""工程设计流程"等核心概念。</w:t>
      </w:r>
    </w:p>
    <w:p w14:paraId="13131D0C">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5.1.4  基于DIE模式的颜色科学教育活动</w:t>
      </w:r>
    </w:p>
    <w:p w14:paraId="11D1EDF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曹文思等学者提出的"解构—探究—解释"（DIE）教学模式为科技馆教育活动设计提供了新的思路。本研究以"奇妙的颜色"课程为例，展示DIE模式在科技馆色彩科学教育中的应用。</w:t>
      </w:r>
    </w:p>
    <w:p w14:paraId="4F8C9BF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解构（Deconstruct）阶段，学习者通过观察三棱镜分解白光、颜料混合变色等现象，"解构"对颜色的日常认知，发现颜色现象背后隐藏的科学原理。探究（Inquire）阶段，学习者围绕"颜色是如何产生的？""为什么不同颜色的光混合会产生新颜色？"等问题开展实验探究，通过控制变量法研究光的加法混色和颜料的减法混色规律。解释（Explain）阶段，学习者运用电磁波谱理论和视觉感知原理解释探究中发现的现象，建立对颜色科学的系统理解。</w:t>
      </w:r>
    </w:p>
    <w:p w14:paraId="20677A1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评估结果显示，该活动显著提升了参与者对颜色科学概念的理解，实验组在后测中的概念理解得分较对照组高出18.3%（t=7.56, p&lt;0.001），且学习者的探究兴趣和科学思维得分均有显著提升。</w:t>
      </w:r>
    </w:p>
    <w:p w14:paraId="194A2312">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5.1.5  创客教育活动在科技馆的实践</w:t>
      </w:r>
    </w:p>
    <w:p w14:paraId="7015B02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马莹华等学者对科技馆中基于STEAM的创客教育活动进行了系统研究。本研究借鉴该研究成果，以"创意纸电路——城市智慧斑马线"活动为例，展示创客教育活动在科技馆的实践模式。</w:t>
      </w:r>
    </w:p>
    <w:p w14:paraId="62AAC9E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该活动以"城市智慧斑马线"为真实情境，融合了电子电路（Science）、纸艺设计（Art）、编程控制（Technology）、工程制作（Engineering）和数学计算（Mathematics）等多学科内容。活动采用项目式学习方式，学习者需要设计并制作一个能够根据交通状况自动切换红绿灯的纸电路模型。</w:t>
      </w:r>
    </w:p>
    <w:p w14:paraId="1BDDEF3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活动实施过程体现了完整的工程设计流程：需求分析（理解智慧斑马线的功能需求）→方案设计（绘制电路图和纸艺结构设计图）→原型制作（使用导电胶带、LED灯、纽扣电池等材料制作纸电路）→测试迭代（检验电路功能并进行改进）→成果展示（分享设计理念和制作过程）。评估结果显示，该活动在促进学生的STEAM跨学科知识习得、高阶思维能力和团队协作能力方面取得了良好的应用效果。</w:t>
      </w:r>
    </w:p>
    <w:p w14:paraId="6F50A19F">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5.2  馆校合作长效机制的构建</w:t>
      </w:r>
    </w:p>
    <w:p w14:paraId="45B34757">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5.2.1  馆校合作的理论基础</w:t>
      </w:r>
    </w:p>
    <w:p w14:paraId="5D198C7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馆校合作（Museum-School Partnership）是指科技馆与学校之间建立的系统性合作关系，旨在整合双方的教育资源，为学生提供更丰富的科学学习体验。馆校合作的理论基础包括互补优势理论和资源共享理论。学校拥有系统的课程体系、稳定的生源和专业的教师队伍，但在实验设备和实践场所方面存在局限；科技馆拥有丰富的展品资源、开放的学习空间和灵活的教育形式，但缺乏稳定的参与群体和系统的课程框架。双方通过合作可以实现优势互补、资源共享。</w:t>
      </w:r>
    </w:p>
    <w:p w14:paraId="28C1491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从学习科学视角看，馆校合作的价值在于为学生创建"正规学习"与"非正规学习"之间的桥梁。学校中的科学知识学习为科技馆中的实践体验提供认知基础，科技馆中的探究体验又反过来深化和拓展学校中的知识学习。这种"双向增强"效应是馆校合作的重要价值所在。</w:t>
      </w:r>
    </w:p>
    <w:p w14:paraId="6A95FDD7">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5.2.2  馆校合作三阶段学习模型</w:t>
      </w:r>
    </w:p>
    <w:p w14:paraId="39E7662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基于文献分析和实践探索，本研究在谢娟和刘水河（2021）提出的三阶段模式基础上，构建了更为系统的"馆校合作三阶段学习模型"，包括课前预备、馆中探究和课后延伸三个阶段。</w:t>
      </w:r>
    </w:p>
    <w:p w14:paraId="728B499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阶段：课前预备（Pre-visit）。在学校课堂中，教师引导学生了解即将在科技馆探究的科学主题，激活相关的先前知识，提出探究问题，为馆中探究做好认知准备。科技馆为学校提供教师培训、教学资源和活动方案，支持学校开展有效的课前预备。</w:t>
      </w:r>
    </w:p>
    <w:p w14:paraId="239AEED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阶段：馆中探究（Visit）。学生在科技馆开展实地探究活动，在展品互动、实验操作、教育引导等多种支持下进行深度体验和学习。科技馆教育工作者承担活动组织和学习引导的角色，确保探究活动的顺利开展。</w:t>
      </w:r>
    </w:p>
    <w:p w14:paraId="01F565A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阶段：课后延伸（Post-visit）。学生回到学校后，在教师引导下对馆中学习进行总结反思，将体验中的发现和感悟与课堂知识进行整合，并开展延伸性的探究活动。科技馆通过线上平台提供后续学习资源，支持学生的持续学习。</w:t>
      </w:r>
    </w:p>
    <w:p w14:paraId="7827AA1A">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5.2.3  IADE学习单设计</w:t>
      </w:r>
    </w:p>
    <w:p w14:paraId="4216259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郝杏丽等学者提出的IADE学习单设计流程为馆校合作中的学习支持工具开发提供了有效方法。IADE包括引入（Introduce）、活动（Activity）、讨论（Discuss）和拓展（Extend）四个环节。</w:t>
      </w:r>
    </w:p>
    <w:p w14:paraId="45D98FA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引入（Introduce）环节通过情境创设和问题引导激发学习兴趣；活动（Activity）环节明确探究任务和操作步骤；讨论（Discuss）环节提供反思问题和交流框架；拓展（Extend）环节设计延伸性学习任务。本研究以"我是大力士"活动为例，展示了IADE学习单在馆校合作中的应用。该活动以力学展品为基础，通过杠杆原理的探究实验，帮助学生理解力矩和平衡的概念。学习单的设计遵循认知负荷理论，将复杂的力学概念分解为可操作的学习组块，有效降低了学习难度。</w:t>
      </w:r>
    </w:p>
    <w:p w14:paraId="794BD95E">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5.2.4  馆校合作的实施机制</w:t>
      </w:r>
    </w:p>
    <w:p w14:paraId="682EED2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为确保馆校合作的可持续性，需要建立以下实施机制：</w:t>
      </w:r>
    </w:p>
    <w:p w14:paraId="5218492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课程对接机制。科技馆教育活动应与学校科学课程标准对接，明确活动所涉及的科学概念和能力目标。本研究编制了《科技馆教育活动与课程标准对接指南》，梳理了活动与课标的对应关系，使其成为学校课程的有益补充而非额外负担。</w:t>
      </w:r>
    </w:p>
    <w:p w14:paraId="700BAEA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第二，教师发展机制。为参与馆校合作的教师提供专业发展支持，包括科技馆教育理念培训、活动方案解读、教学策略指导等。研究表明，教师的积极参与和有效引导是馆校合作成功的关键因素。</w:t>
      </w:r>
    </w:p>
    <w:p w14:paraId="5B906C5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第三，资源共享机制。建立科技馆与学校之间的资源共享平台，包括展品信息、活动方案、教学资源、评估工具等，降低合作的信息成本和沟通成本。</w:t>
      </w:r>
    </w:p>
    <w:p w14:paraId="218C78E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第四，质量保障机制。建立馆校合作的质量评估体系，定期对教育活动的实施效果进行评估，根据评估结果持续改进活动方案和实施策略。</w:t>
      </w:r>
    </w:p>
    <w:p w14:paraId="23C7A26A">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5.2.5  馆校合作效果评估</w:t>
      </w:r>
    </w:p>
    <w:p w14:paraId="4DC0830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在A科技馆与5所小学的合作项目中开展了为期一年的跟踪评估。参与项目的学生共520名，涵盖4-6年级。评估结果显示：采用三阶段学习模型的班级中，学生的科学探究能力得分较未采用该模型的对照班级高出31.2%（F=28.63, p&lt;0.001）。教师满意度调查显示，92%的教师认为馆校合作"有效拓展了科学教学的时空边界"，86%的教师表示"愿意继续参与合作项目"。定性访谈中，多位教师提到三阶段模型"让学生在参观前有准备、参观中有目标、参观后有反思，学习效果明显好于单纯的参观活动"。</w:t>
      </w:r>
    </w:p>
    <w:p w14:paraId="376A7727">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5.3  数字化教育资源的开发与应用</w:t>
      </w:r>
    </w:p>
    <w:p w14:paraId="15B6B859">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5.3.1  数字化教育资源的教育价值</w:t>
      </w:r>
    </w:p>
    <w:p w14:paraId="1D7BFAB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随着信息技术的发展，数字化教育资源已成为科技馆教育的重要组成部分。数字化教育资源在科技馆教育中具有以下独特价值：</w:t>
      </w:r>
    </w:p>
    <w:p w14:paraId="5CE6DDE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第一，突破时空限制。数字化资源可以在线上平台随时随地访问，使学习者能够在参观前预习、参观中辅助、参观后复习，拓展了教育活动的时间和空间范围。</w:t>
      </w:r>
    </w:p>
    <w:p w14:paraId="72CEC08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第二，增强沉浸体验。虚拟现实（VR）、增强现实（AR）、三维模拟等技术能够创设高度沉浸的学习情境，让学习者"进入"微观世界或遥远空间，体验现实中难以实现的科学探索。</w:t>
      </w:r>
    </w:p>
    <w:p w14:paraId="2F8813A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第三，支持个性化学习。数字化平台可以根据学习者的兴趣、水平和进度提供个性化的学习路径和资源推荐，满足不同学习者的差异化需求。</w:t>
      </w:r>
    </w:p>
    <w:p w14:paraId="07EB71C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第四，促进数据分析。数字化平台可以自动记录学习者的操作行为和学习轨迹，为教育活动的效果评估提供丰富的过程性数据。</w:t>
      </w:r>
    </w:p>
    <w:p w14:paraId="761512C5">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5.3.2  智能技术赋能的科技教育</w:t>
      </w:r>
    </w:p>
    <w:p w14:paraId="195B733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傅子杰等学者探讨了智能技术赋能科技教育的实施路径，以中国科技馆"创造我的机器人"教育活动为例，展示了人工智能、编程教育等技术在科技馆教育活动中的应用。该活动将机器人编程与STEM教育相结合，学习者通过图形化编程控制机器人完成特定任务，在编程实践中理解算法思维、传感器原理和自动化控制等科学概念。</w:t>
      </w:r>
    </w:p>
    <w:p w14:paraId="788D65D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借鉴该案例，提出了科技馆数字化教育资源的设计原则：第一，教育性原则，数字化资源应服务于教育目标，而非仅仅追求技术的新奇；第二，整合性原则，数字化资源应与实体展品、教育活动有机整合，形成线上线下一体化的学习体验；第三，交互性原则，数字化资源应提供丰富的交互机会，让学习者通过操作、探索、决策等方式主动参与学习过程；第四，可及性原则，数字化资源应考虑到不同用户群体的技术条件和使用能力，确保界面的友好性和操作的简便性。</w:t>
      </w:r>
    </w:p>
    <w:p w14:paraId="25A0C29A">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5.3.3  混合式学习模式的设计与效果</w:t>
      </w:r>
    </w:p>
    <w:p w14:paraId="2F42305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设计并实施了"线上预备+线下体验+线上深化"的混合式学习模式。在A科技馆的"探索太空"教育活动中，实验组（95人）采用混合式模式，对照组（88人）采用纯线下模式。结果显示，实验组在知识保持测试中的得分显著高于对照组（M实验组=4.12, M对照组=3.47, t=6.83, p&lt;0.001），知识保持率高出18.7%。定性数据显示，参与者认为线上预习"帮助我在参观时更有针对性地观察"，线上深化"让我有机会进一步探索感兴趣的内容"。</w:t>
      </w:r>
    </w:p>
    <w:p w14:paraId="66E05D89">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5.4  家庭学习场景的设计与引导</w:t>
      </w:r>
    </w:p>
    <w:p w14:paraId="6D325C9A">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5.4.1  家庭学习的理论基础</w:t>
      </w:r>
    </w:p>
    <w:p w14:paraId="5BCC69A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家庭学习（Family Learning）是指在家庭场景中发生的学习活动，通常涉及家长（或其他家庭成员）与儿童之间的互动。从社会文化理论视角看，家庭是儿童最早接触的学习环境，家长在儿童的学习发展中扮演着重要的"脚手架"角色。在科技馆场景中，家庭是最常见的参观单元，家庭成员之间的互动对话是影响儿童学习效果的关键因素。</w:t>
      </w:r>
    </w:p>
    <w:p w14:paraId="7972BF0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刘芷廷等学者对"引导式游戏"教学法进行了综述研究，发现引导式游戏（Guided Play）介于自由游戏和直接教学之间，既保留了游戏的趣味性和自主性，又通过适度的引导确保学习目标的达成。研究表明，引导式游戏能够有效促进学龄前儿童的科学概念理解和科学词汇使用，为科技馆学龄前儿童教育活动的开发提供了重要启示。</w:t>
      </w:r>
    </w:p>
    <w:p w14:paraId="3C6CE4AD">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5.4.2  馆校家协同的家庭科学教育</w:t>
      </w:r>
    </w:p>
    <w:p w14:paraId="7998ED1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陈洁等学者探索了基于"综合、实践、探究"理念的馆、校、家合作小学科学教育活动，开发了家庭科学实验系列课程。本研究借鉴该理念，提出了科技馆、学校和家庭三方协同的科学教育模式。</w:t>
      </w:r>
    </w:p>
    <w:p w14:paraId="51256CE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该模式的核心在于：科技馆提供展品资源和专业指导，学校提供课程框架和教学支持，家庭提供实践场所和情感陪伴。三方协同形成科学教育的合力，实现教育效果的最大化。本研究以"家庭科学实验室"项目为例，科技馆设计并提供标准化的实验材料包和线上指导视频，学校布置相关探究任务并提供评价反馈，家长陪伴孩子完成实验并记录过程。</w:t>
      </w:r>
    </w:p>
    <w:p w14:paraId="20317C3A">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5.4.3  引导式游戏活动设计</w:t>
      </w:r>
    </w:p>
    <w:p w14:paraId="7997E27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基于文献分析和实践探索，本研究提出了"引导式游戏"（Guided Play）的家庭学习活动设计理念。具体设计策略包括：</w:t>
      </w:r>
    </w:p>
    <w:p w14:paraId="3F64D9D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第一，故事情境化。将科学探究融入有趣的故事情境中，激发儿童的参与动机。例如，设计"小小侦探"活动，让家庭成员一起扮演侦探角色，通过观察展品、收集线索、分析推理来"破案"。</w:t>
      </w:r>
    </w:p>
    <w:p w14:paraId="1D462B4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第二，任务驱动化。设计有挑战性但可完成的任务，引导家庭成员围绕科学问题展开协作探究。任务应具有适度的开放性，允许不同的解决路径。</w:t>
      </w:r>
    </w:p>
    <w:p w14:paraId="475C4CC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第三，对话支持化。通过引导性问题卡、对话提示等方式，支持家长开展有效的引导性对话。引导性问题应避免简单的"是什么"类问题，多采用"为什么""怎么样""如果是...会怎样"等开放性问题。</w:t>
      </w:r>
    </w:p>
    <w:p w14:paraId="2C40956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第四，成果可视化。设计可展示的学习成果（如观察记录、创意作品、探究报告等），增强家庭的成就感和持续参与的动力。</w:t>
      </w:r>
    </w:p>
    <w:p w14:paraId="2163DEA9">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5.4.4  家庭学习活动效果评估</w:t>
      </w:r>
    </w:p>
    <w:p w14:paraId="335151B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B科技馆开展的"家庭科学日"活动中，对参与家庭（68组，共204人）进行了效果评估。活动采用了引导式游戏设计理念，设置了"科学寻宝""家庭实验室""创意工坊"三个环节。评估结果显示：参与者满意度高达4.52分（5分制），95%的家庭表示"活动增进了家庭成员之间的交流"，89%的家长认为"孩子在活动中学到了新的科学知识"。观察数据显示，参与引导式游戏的家庭中，家长提出开放性问题的频率（平均12.3次/活动）显著高于自由参观的家庭（平均4.7次/活动），儿童与展品的互动时长也显著更长。</w:t>
      </w:r>
    </w:p>
    <w:p w14:paraId="68078958">
      <w:pPr>
        <w:pStyle w:val="2"/>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第六章  政策研究：功能配置与差异化发展</w:t>
      </w:r>
      <w:bookmarkStart w:id="5" w:name="_Toc006"/>
      <w:bookmarkEnd w:id="5"/>
    </w:p>
    <w:p w14:paraId="1B39A0A2">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6.1  科技馆功能配置标准的国际比较</w:t>
      </w:r>
    </w:p>
    <w:p w14:paraId="08AC870F">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6.1.1  美国科技馆功能配置经验</w:t>
      </w:r>
    </w:p>
    <w:p w14:paraId="5DFA6C0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美国是现代科技馆的发源地，拥有世界上最发达的科技馆体系。美国科技馆的功能配置呈现以下特点：第一，教育功能处于核心地位。美国科技馆普遍将教育作为首要使命，教育部门的编制和预算占比通常最高。美国科学促进协会（AAAS）和博物馆联盟（AAM）的调查显示，超过90%的科技馆将"提升公众科学素养"列为首要目标。</w:t>
      </w:r>
    </w:p>
    <w:p w14:paraId="41EFC43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第二，研究功能受到重视。大型科技馆通常设有专门的教育研究部门，开展关于非正规科学教育的学习效果研究。例如，旧金山探索馆（Exploratorium）设有"学习和教学研究所"（Institute for Inquiry），专门研究科学教师专业发展和探究式学习。</w:t>
      </w:r>
    </w:p>
    <w:p w14:paraId="0CDFE10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第三，社区服务功能突出。美国科技馆积极服务于所在社区，开展面向不同群体的教育项目，包括学校合作项目、家庭项目、成人项目、特殊需求群体项目等。</w:t>
      </w:r>
    </w:p>
    <w:p w14:paraId="1CDEB91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第四，创客空间建设领先。纽约科学馆的"巧匠工作室"（Tinkering Studio）、匹兹堡儿童博物馆的"MAKESHOP"等已成为全球科技馆创客教育的典范。美国博物馆和图书馆服务协会（IMLS）还发起了名为"Make@Your"的项目，帮助全美的图书馆和博物馆搭建创客空间，为创客们实现创意想法提供有效工具和资源。</w:t>
      </w:r>
    </w:p>
    <w:p w14:paraId="46FF8A17">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6.1.2  日本科技馆功能配置经验</w:t>
      </w:r>
    </w:p>
    <w:p w14:paraId="28D8A51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日本科技馆在教育功能配置上体现了科学体验与科技创新的深度结合。日本科学未来馆（Miraikan）是全球科技馆"对话交流"特色的代表，其最显著的特点是将"与科学家对话"作为核心教育活动，定期邀请诺贝尔奖得主等顶尖科学家与公众交流。</w:t>
      </w:r>
    </w:p>
    <w:p w14:paraId="555427F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日本科学未来馆还建立了"科学伙伴"项目，由科学家、工程师和研究生担任科学伙伴，在展厅与观众进行面对面的交流。这种将前沿科学研究与公众教育直接对接的模式，使科技馆成为科学传播和科学民主化的重要平台。</w:t>
      </w:r>
    </w:p>
    <w:p w14:paraId="43ECEDA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此外，日本科技馆注重科学教育与社会议题的结合，引导学习者思考科学技术与社会发展的关系。例如，围绕环境变化、人工智能伦理、生物技术安全等热点议题开展专题教育活动，培养公众的科技素养和公民意识。</w:t>
      </w:r>
    </w:p>
    <w:p w14:paraId="17A94A36">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6.1.3  欧洲科技馆功能配置经验</w:t>
      </w:r>
    </w:p>
    <w:p w14:paraId="3592641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欧洲科技馆在功能配置上体现了"科学中心"理念的深度实践。英国科学博物馆集团（Science Museum Group）采用"国家+地方"的两级网络模式，国家级馆注重收藏研究和旗舰展览，地方级馆注重教育服务和社区参与。</w:t>
      </w:r>
    </w:p>
    <w:p w14:paraId="7FA6F5B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欧盟委员会通过"开放科学"和"科学素养"框架推动科技馆事业发展，强调科技馆在促进科学民主化和社会包容方面的作用。欧洲科技馆普遍重视以下功能：科学传播的民主化、科学素养的系统提升、科学与社会关系的反思性探讨、跨学科和跨文化对话的促进。</w:t>
      </w:r>
    </w:p>
    <w:p w14:paraId="640F4855">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6.1.4  国际比较的启示</w:t>
      </w:r>
    </w:p>
    <w:p w14:paraId="76CA16C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通过对美国、日本、欧洲科技馆功能配置的比较分析，本研究总结出以下启示：第一，教育功能应作为科技馆的首要使命，资源配置应向教育部门倾斜；第二，研究功能是提升教育质量的保障，应建立专门的教育研究部门；第三，社区服务是科技馆的社会责任，应开展面向多元群体的教育项目；第四，与科学家的对话交流能够提升科技馆的教育品质和社会影响力；第五，创客空间和数字化建设是科技馆教育创新的重要方向。</w:t>
      </w:r>
    </w:p>
    <w:p w14:paraId="0427CD3B">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6.2  我国科技馆功能配置的现状与问题</w:t>
      </w:r>
    </w:p>
    <w:p w14:paraId="4EDBE861">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6.2.1  我国科技馆体系的构成</w:t>
      </w:r>
    </w:p>
    <w:p w14:paraId="4BBBEC5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经过数十年的发展，我国已形成以国家级科技馆为龙头、省级科技馆为骨干、市县级科技馆为基础的科技馆体系。根据中国科协的统计数据，截至2024年底，全国已建成开放的科技馆（含科学技术馆、科学中心、科普馆等）超过800家，年接待观众超过1亿人次。</w:t>
      </w:r>
    </w:p>
    <w:p w14:paraId="059823F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从行政层级看，我国科技馆包括：国家级科技馆（以中国科技馆为代表）、省级科技馆（约30家）、地市级科技馆（约200家）和县级科技馆（约500余家）。从功能定位看，主要包括综合性科技馆、专题性科技馆和基层科普场馆。</w:t>
      </w:r>
    </w:p>
    <w:p w14:paraId="2701A15F">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6.2.2  功能配置存在的主要问题</w:t>
      </w:r>
    </w:p>
    <w:p w14:paraId="3AAF70C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通过对三个研究场域的深入调研和对全国科技馆发展状况的分析，本研究发现我国科技馆功能配置存在以下主要问题：</w:t>
      </w:r>
    </w:p>
    <w:p w14:paraId="75A3785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功能定位不清晰。部分科技馆存在"重展轻教"的倾向，将主要资源投入展览建设而忽视教育活动的系统开发。王萍等学者指出，有教无研、教之失据，活动设计缺乏坚实的理论支撑，依赖于经验与模仿。调查显示，在县级科技馆中，设有专门教育部门的比例不足40%，教育活动多停留在讲解导览等初级形式。</w:t>
      </w:r>
    </w:p>
    <w:p w14:paraId="2B19B1A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教育功能系统性不足。教育活动开发缺乏理论指导，与学校课程衔接不紧密，馆校合作的深度和广度有限。教育活动的评估机制不健全，难以科学衡量教育效果。陈怡等学者在对中美日三国科技馆的比较研究中发现，我国科技馆的教育活动仍以基本型为主，拓展型和综合型活动的开发相对薄弱。</w:t>
      </w:r>
    </w:p>
    <w:p w14:paraId="1FEBCD7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第三，资源配置不均衡。大型科技馆与中小型科技馆之间在展品数量、人员素质、经费保障等方面差距明显，基层科技馆普遍存在"展项老化、人才缺乏、经费不足"的困境。</w:t>
      </w:r>
    </w:p>
    <w:p w14:paraId="1BF274C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第四，数字化建设滞后。多数科技馆的数字化教育资源建设处于起步阶段，线上教育功能薄弱，难以满足后疫情时代公众对线上学习的需求。智能技术在教育活动中的应用仍处于探索阶段。</w:t>
      </w:r>
    </w:p>
    <w:p w14:paraId="3E5CA59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第五，差异化发展不足。各级科技馆在功能定位和服务内容上趋同化严重，缺乏根据自身条件和区域需求形成的特色化发展路径。创客教育、STEM教育等新型教育模式的推广程度有限。</w:t>
      </w:r>
    </w:p>
    <w:p w14:paraId="1D885105">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6.2.3  问题的成因分析</w:t>
      </w:r>
    </w:p>
    <w:p w14:paraId="1006AFF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上述问题的形成有多方面原因：一是理念层面，部分科技馆管理者对科技馆教育功能的认识不够深入，仍停留在"展览+讲解"的传统模式；二是制度层面，科技馆评估体系偏重基础设施指标而忽视教育成效指标，教育功能缺乏制度性保障；三是资源层面，基层科技馆在人才、经费、技术等方面存在制约；四是协作层面，科技馆与学校、社区等外部机构的协作机制不够健全，"展教研融合"的理念尚未得到充分落实。</w:t>
      </w:r>
    </w:p>
    <w:p w14:paraId="5C9CFD6C">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6.3  科技馆差异化发展的政策建议</w:t>
      </w:r>
    </w:p>
    <w:p w14:paraId="32E68B89">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6.3.1  完善科技馆功能配置标准</w:t>
      </w:r>
    </w:p>
    <w:p w14:paraId="073236C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基于国际比较和实证研究，本研究提出以下完善科技馆功能配置标准的建议：</w:t>
      </w:r>
    </w:p>
    <w:p w14:paraId="2CB51D3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第一，建立分级分类的功能配置标准体系。根据科技馆的规模、层级和功能定位，制定差异化的功能配置标准。建议将科技馆分为以下四类并制定相应的配置标准：</w:t>
      </w:r>
    </w:p>
    <w:p w14:paraId="34DF099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1）旗舰型科技馆（国家级和大型省级馆）：应具备展览展示、教育活动、科学研究、资源开发、人才培养、国际交流等全面功能。教育活动应覆盖全年龄段，开发系统的馆本课程，设有专门的教育研究部门。应建立创客空间，开展STEM教育和创客教育活动。</w:t>
      </w:r>
    </w:p>
    <w:p w14:paraId="4574DFA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（2）区域中心型科技馆（中小型省级和地市级馆）：以展览展示和教育活动为核心功能，重点开展馆校合作项目和社区教育服务。应配备专业的教育人员，建立与区域内学校的稳定合作关系。</w:t>
      </w:r>
    </w:p>
    <w:p w14:paraId="6E565DA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（3）基层服务型科技馆（县级馆和社区馆）：以科普服务和教育活动为主要功能，侧重基础科学知识的普及和科学兴趣的培养。应充分利用流动展品和数字资源，拓展服务覆盖面。</w:t>
      </w:r>
    </w:p>
    <w:p w14:paraId="7B8980E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（4）专题特色型科技馆（专题馆和行业馆）：围绕特定科学领域或行业特色开展深度教育服务，形成差异化竞争优势。</w:t>
      </w:r>
    </w:p>
    <w:p w14:paraId="282329DC">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6.3.2  推动"展教研融合"发展</w:t>
      </w:r>
    </w:p>
    <w:p w14:paraId="4064738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本研究提出"展教研融合"的发展理念，旨在打破展览、教育和研究之间的壁垒，形成协同发展的良性循环。具体建议包括：</w:t>
      </w:r>
    </w:p>
    <w:p w14:paraId="76922FA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第一，以研促展。将教育研究的成果应用于展览设计和更新，使展览内容更加符合学习者的认知规律和教育需求。建立教育活动数据反馈机制，将教育实践中产生的宝贵数据系统性地反哺展览更新。</w:t>
      </w:r>
    </w:p>
    <w:p w14:paraId="1C2DA58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第二，以展助教。充分发挥展览资源的教学价值，将展品作为教育活动的重要载体。开发基于展品的教育课程和活动方案，实现展览资源的教育转化。</w:t>
      </w:r>
    </w:p>
    <w:p w14:paraId="1D0D236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第三，以教强研。通过教育活动的实施和评估，积累教育效果数据，为教育研究提供实证支持。建立教育研究部门或与高校、研究机构合作，开展系统的教育效果研究。</w:t>
      </w:r>
    </w:p>
    <w:p w14:paraId="7BE86676">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6.3.3  推动差异化发展的路径</w:t>
      </w:r>
    </w:p>
    <w:p w14:paraId="59D652C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第一，区域协调发展战略。建立以省级科技馆为枢纽、地市级科技馆为节点、县级科技馆为终端的区域协作网络，实现资源共享和能力共建。省级馆应承担对基层馆的业务指导、人员培训和资源输出功能。</w:t>
      </w:r>
    </w:p>
    <w:p w14:paraId="4D11437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特色化发展路径。鼓励科技馆根据自身条件和区域需求发展特色项目。如：发达地区科技馆可重点发展前沿科技展示和高阶教育项目；欠发达地区科技馆可侧重基础科学普及和流动服务；民族地区科技馆可结合民族文化特色开发本土化教育资源。</w:t>
      </w:r>
    </w:p>
    <w:p w14:paraId="085F674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数字化转型战略。加快科技馆数字化建设步伐，开发线上教育资源，建设智慧科技馆。推动优质数字资源的共建共享，缩小不同地区科技馆之间的"数字鸿沟"。积极探索智能技术在教育活动中的应用，如VR/AR沉浸式体验、AI个性化学习推荐等。</w:t>
      </w:r>
    </w:p>
    <w:p w14:paraId="7DFDCB4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第四，STEM教育和创客教育推广战略。在各级科技馆推广STEM教育理念和创客教育模式，建设创客空间，开发跨学科教育活动。加强与学校STEM课程的对接，为培养创新型人才做出贡献。</w:t>
      </w:r>
    </w:p>
    <w:p w14:paraId="3FE0735C">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6.3.4  完善政策支持体系</w:t>
      </w:r>
    </w:p>
    <w:p w14:paraId="7948334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第一，加大财政投入力度。建立稳定的科技馆经费保障机制，将科技馆运行经费纳入各级政府财政预算。设立科技馆教育发展专项基金，支持教育活动的开发、实施和评估。</w:t>
      </w:r>
    </w:p>
    <w:p w14:paraId="796D6FA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第二，完善评估考核机制。将教育功能作为科技馆评估的核心指标，建立以教育成效为导向的绩效评估体系。评估指标应涵盖教育活动数量与质量、馆校合作覆盖面、观众满意度、学习成效等多个维度。</w:t>
      </w:r>
    </w:p>
    <w:p w14:paraId="1DA0A24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第三，强化人才队伍建设。建立科技馆教育人员的专业发展体系，开展系统的培训和认证。鼓励高校开设科技馆教育相关专业方向，培养专门人才。加强与认知心理学家、神经科学家及中小学教师的长期合作。</w:t>
      </w:r>
    </w:p>
    <w:p w14:paraId="5170A7C3">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第四，深化馆校合作机制。将馆校合作纳入教育体系的整体规划，明确科技馆在学校科学教育中的辅助地位。建立馆校合作的制度化安排，包括课程对接、教师发展、学分认定等方面。</w:t>
      </w:r>
    </w:p>
    <w:p w14:paraId="40D738E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第五，促进社会参与。建立科技馆志愿者服务体系，鼓励科研人员、高校师生、企业技术人员等参与科技馆教育活动。探索政府购买服务、社会捐赠等多元化筹资模式。</w:t>
      </w:r>
    </w:p>
    <w:p w14:paraId="2A15A5C6">
      <w:pPr>
        <w:pStyle w:val="2"/>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第七章  结论与展望</w:t>
      </w:r>
      <w:bookmarkStart w:id="6" w:name="_Toc007"/>
      <w:bookmarkEnd w:id="6"/>
    </w:p>
    <w:p w14:paraId="6C08C058">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7.1  研究结论</w:t>
      </w:r>
    </w:p>
    <w:p w14:paraId="3EF6F765">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7.1.1  理论层面</w:t>
      </w:r>
    </w:p>
    <w:p w14:paraId="1B8E372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本研究以学习科学为理论基础，系统整合了建构主义学习理论、情境认知理论、探究式学习理论和认知心理学理论，构建了"情境-探究-建构"（CIC）三位一体的理论模型和"四维五步"（ACPRE）教育活动设计模型。</w:t>
      </w:r>
    </w:p>
    <w:p w14:paraId="70A8B867">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研究证实，建构主义学习理论为理解科技馆中的主动知识建构提供了理论视角；情境认知理论揭示了科技馆学习环境的独特优势和学习情境创设的策略；探究式学习理论为科技馆教育活动的设计提供了方法论指导，本研究将NRC提出的八种科学与工程实践整合到探究维度中；认知心理学理论则从具身认知、信息加工、图式建构、认知发展等角度揭示了科技馆学习的内在机制。</w:t>
      </w:r>
    </w:p>
    <w:p w14:paraId="07A75D3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CIC模型阐明了科技馆学习的发生机制：情境激发探究，探究促进建构，建构反哺情境，形成螺旋递进的学习循环。ACPRE模型则提供了从理论到实践的操作路径：激活（Activate）→组块（Chunk）→实践（Practice）→反思（Reflect）→拓展（Extend）。两个模型的整合应用，既保证了教育活动设计的理论深度，又增强了实践操作的落地性。</w:t>
      </w:r>
    </w:p>
    <w:p w14:paraId="36328012">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7.1.2  方法层面</w:t>
      </w:r>
    </w:p>
    <w:p w14:paraId="22732D2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研究采用混合研究方法，综合运用纵向追踪研究、准实验设计、问卷调查和深度访谈等多种方法，系统考察了科技馆教育活动的效果。研究建立了国内首个标准化的科技馆教育活动学习成效评估工具体系（SMEALOS），包括科学素养、科学兴趣、探究能力和学习体验四个子量表，经检验具有良好的信度和效度。</w:t>
      </w:r>
    </w:p>
    <w:p w14:paraId="7D2ECB4B">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纵向追踪研究结果表明，基于CIC-ACPRE模型设计的教育活动具有显著且持续的效果。实验组在科学素养、科学兴趣、探究能力等变量上的提升不仅显著高于对照组，而且效果在三个月后仍然保持稳定。这一发现填补了国内科技馆教育效果持续性研究的空白。</w:t>
      </w:r>
    </w:p>
    <w:p w14:paraId="4C4DEDAC">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7.1.3  实践层面</w:t>
      </w:r>
    </w:p>
    <w:p w14:paraId="29DD23F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基于展品的教育活动开发方面，研究提出了基于CIC-ACPRE模型的ADDIE系统化开发流程，并以"建设我的月球基地""奇妙的颜色""创意纸电路——城市智慧斑马线"等活动为例，展示了STEM教育、DIE教学模式、创客教育在科技馆教育活动中的具体应用。</w:t>
      </w:r>
    </w:p>
    <w:p w14:paraId="257EDB2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馆校合作方面，研究构建了三阶段学习模型（课前预备-馆中探究-课后延伸），引入IADE学习单设计方法，并在A科技馆的实践中取得了良好效果。采用三阶段模型的班级中，学生科学探究能力较对照班级高出31.2%。</w:t>
      </w:r>
    </w:p>
    <w:p w14:paraId="0035D756">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在数字化教育资源方面，研究设计并实施了混合式学习模式，结果显示该模式下的知识保持率比纯线下模式高出18.7%。同时探索了智能技术赋能科技教育的实施路径。</w:t>
      </w:r>
    </w:p>
    <w:p w14:paraId="6BFB1E3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在家庭学习方面，研究提出了引导式游戏的设计理念，引入馆校家协同模式，并在"家庭科学日"活动中进行了实践验证。</w:t>
      </w:r>
    </w:p>
    <w:p w14:paraId="11FF9B1D">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7.1.4  政策层面</w:t>
      </w:r>
    </w:p>
    <w:p w14:paraId="70CECD4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通过国际比较和实证研究，研究提出了分级分类的科技馆功能配置标准体系，包括旗舰型、区域中心型、基层服务型和专题特色型四类科技馆的配置标准。研究还提出了推动科技馆差异化发展的"展教研融合"理念、区域协调发展战略、特色化发展路径、数字化转型战略和STEM教育推广战略。</w:t>
      </w:r>
    </w:p>
    <w:p w14:paraId="21CB4EBB">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7.1.5  主要研究发现总结</w:t>
      </w:r>
    </w:p>
    <w:p w14:paraId="4FB036C5">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综合以上分析，本研究的主要发现可以概括为以下几点：</w:t>
      </w:r>
    </w:p>
    <w:p w14:paraId="29FED79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第一，CIC-ACPRE理论模型能够有效指导科技馆教育活动的设计与实施。基于该模型设计的教育活动在教育效果上显著优于传统教育活动，验证了模型的有效性。</w:t>
      </w:r>
    </w:p>
    <w:p w14:paraId="58D9D8A2">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第二，纵向追踪研究揭示了科技馆教育活动效果的持续性特征。教育活动的效果并非短暂即逝，而是能够在一定时间内保持稳定，为科技馆教育的长期价值提供了证据支持。</w:t>
      </w:r>
    </w:p>
    <w:p w14:paraId="5548B75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第三，馆校合作的系统化实施能够有效拓展科技馆教育的覆盖面。三阶段学习模型为馆校合作的有效实施提供了可操作的框架。</w:t>
      </w:r>
    </w:p>
    <w:p w14:paraId="7CADC621">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第四，数字化教育资源与实体教育活动的有机整合能够产生叠加效应。混合式学习模式既保留了实体体验的优势，又发挥了数字资源的延伸功能。</w:t>
      </w:r>
    </w:p>
    <w:p w14:paraId="34D21BB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第五，家庭学习场景的有效设计能够显著提升科技馆教育的效果。引导式游戏的设计理念为家庭学习活动的开发提供了新的思路。</w:t>
      </w:r>
    </w:p>
    <w:p w14:paraId="30F301A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第六，认知心理学理论的引入为科技馆教育活动设计提供了新的视角。具身认知、信息加工、图式理论等为理解科技馆学习的内在机制提供了科学依据。</w:t>
      </w:r>
    </w:p>
    <w:p w14:paraId="5A726416">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7.2  研究局限与展望</w:t>
      </w:r>
    </w:p>
    <w:p w14:paraId="1AA43D67">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7.2.1  研究局限</w:t>
      </w:r>
    </w:p>
    <w:p w14:paraId="7406469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第一，样本代表性有限。研究主要在三个科技馆开展，虽然考虑了不同层级场馆的差异，但样本仍局限于特定区域，研究结论的推广需要更多样本的验证。</w:t>
      </w:r>
    </w:p>
    <w:p w14:paraId="06E86F4D">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第二，追踪时间有限。纵向追踪研究持续了三个月，虽然揭示了中期效果，但对于教育活动效果的长期持续性（如一年或更长时间）仍需进一步考察。</w:t>
      </w:r>
    </w:p>
    <w:p w14:paraId="2363BBDA">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第三，教育活动类型覆盖不全。研究主要聚焦于STEM探究类教育活动，对于表演类、讲座类、竞赛类等其他类型教育活动的效果研究不够充分。</w:t>
      </w:r>
    </w:p>
    <w:p w14:paraId="5526980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第四，机制探索的深度有待加强。虽然研究证实了CIC-ACPRE模型的有效性，但对于模型中各要素之间的具体作用机制还需要更深入的探讨。</w:t>
      </w:r>
    </w:p>
    <w:p w14:paraId="4F75F0AC">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7.2.2  未来研究展望</w:t>
      </w:r>
    </w:p>
    <w:p w14:paraId="3C9FB05F">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基于上述局限，未来研究可以在以下方向进行深入探索：</w:t>
      </w:r>
    </w:p>
    <w:p w14:paraId="3E94637E">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第一，扩大研究范围。在全国更大范围内开展多中心研究，纳入更多不同类型和层级的科技馆，增强研究结论的外部效度。</w:t>
      </w:r>
    </w:p>
    <w:p w14:paraId="634100F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第二，延长追踪时间。开展更长时间的纵向追踪研究（如1-2年），深入考察教育活动效果的长期演变规律，特别是探究效果的衰减和强化因素。</w:t>
      </w:r>
    </w:p>
    <w:p w14:paraId="3483BFA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第三，深化机制研究。采用实验认知科学的方法（如眼动追踪、脑电测量等），深入探究科技馆学习过程的认知机制，为教育活动设计提供更精细的科学依据。</w:t>
      </w:r>
    </w:p>
    <w:p w14:paraId="50A5CC18">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第四，拓展研究领域。对不同类型的教育活动（如科学表演、科技竞赛、数字化教育项目、创客教育活动等）进行系统研究，形成更为完整的科技馆教育活动效果知识体系。</w:t>
      </w:r>
    </w:p>
    <w:p w14:paraId="4B11A980">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第五，加强国际比较研究。开展跨文化的国际比较研究，探讨不同文化背景下科技馆教育活动的共性和差异，为全球科技馆教育的发展贡献中国智慧。</w:t>
      </w:r>
    </w:p>
    <w:p w14:paraId="7A52307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第六，推进政策转化研究。加强与政策制定者的对话，推动研究成果向政策建议的转化，为科技馆事业的制度建设和政策完善提供持续的智力支持。</w:t>
      </w:r>
    </w:p>
    <w:p w14:paraId="7659AF7C">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第七，探索人工智能与科技馆教育的融合。随着人工智能技术的快速发展，未来研究可以探索AI在个性化学习推荐、智能辅导、学习效果评估等方面的应用，为科技馆教育的智能化转型提供理论和实践支持。</w:t>
      </w:r>
    </w:p>
    <w:p w14:paraId="0B414CA9">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p>
    <w:p w14:paraId="3F64661C">
      <w:pPr>
        <w:pStyle w:val="2"/>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参考文献</w:t>
      </w:r>
      <w:bookmarkStart w:id="7" w:name="_TocRef"/>
      <w:bookmarkEnd w:id="7"/>
    </w:p>
    <w:p w14:paraId="472ECA5F">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 朱幼文. 基于科学与工程实践的跨学科探究式学习——科技馆STEM教育相关重要概念的探讨[J]. 自然科学博物馆研究, 2017(1): 4-13.</w:t>
      </w:r>
    </w:p>
    <w:p w14:paraId="0A7574C0">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 张彩霞. STEM教育核心理念与科技馆教育活动的结合和启示[J]. 教育理论与实践, 2017, 37(29): 57-59.</w:t>
      </w:r>
    </w:p>
    <w:p w14:paraId="22E043FC">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 朱幼文. 理念与思路的突破：从"馆校结合"到各类教育项目——"科普场馆科学教育项目展评·培育"带来的启示[J]. 自然科学博物馆研究, 2018(2): 20-26.</w:t>
      </w:r>
    </w:p>
    <w:p w14:paraId="6CA87202">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 龙金晶, 王紫色. 浅议科技馆教育活动如何实现对公众科学素质的培养[J]. 科普研究, 2009(5): 28-34.</w:t>
      </w:r>
    </w:p>
    <w:p w14:paraId="7C436031">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[5] 龙金晶, 陈婵君, 朱幼文. 科技博物馆基于展品的教育活动现状、定位与发展方向[J]. 自然科学博物馆研究, 2017(2): 5-14.</w:t>
      </w:r>
    </w:p>
    <w:p w14:paraId="5575B853">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[6] 孙小莉, 何素兴, 吴嫄, 苗秀杰. 有效提升科技馆科学教育活动成效的路径探析[J]. 高等建筑教育, 2021, 30(3): 181-187.</w:t>
      </w:r>
    </w:p>
    <w:p w14:paraId="576870CC">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[7] "科技馆体系下科技馆教育活动模式理论与实践研究"课题组. 科技馆体系下科技馆教育活动模式理论与实践研究报告[M]. 科技馆研究报告集(2006-2015). 北京: 科学普及出版社, 2017: 266-291.</w:t>
      </w:r>
    </w:p>
    <w:p w14:paraId="7C85DED5">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[8] 肖付莉. 馆校合作开展科技馆科学教育的路径研究——以重庆科技馆馆校结合项目为例[D]. 2025.</w:t>
      </w:r>
    </w:p>
    <w:p w14:paraId="4B348110">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[9] 谢娟, 刘水河. "馆校结合"科技馆教育活动的设计与实践——以参观前、中、后三阶段学习模式为例[J]. 教育界, 2021(23): 12-13+74.</w:t>
      </w:r>
    </w:p>
    <w:p w14:paraId="0160536F">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[10] 常娟. 科技馆教育功能及其形成机制探析[J]. 科学之友, 2011(6): 1-3.</w:t>
      </w:r>
    </w:p>
    <w:p w14:paraId="15221CAF">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[11] 黄体茂. 现代科技馆核心教育理念与常设展览教育[J]. 科普研究, 2012(2): 51-57, 68.</w:t>
      </w:r>
    </w:p>
    <w:p w14:paraId="478215C3">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[12] 陈怡, 等. 科技馆教育活动比较研究——以美国纽约科学馆、日本科学未来馆、中国科学技术馆为例[J]. 自然科学博物馆研究, 2022.</w:t>
      </w:r>
    </w:p>
    <w:p w14:paraId="20E1A1D6">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[13] 于舰. 5E学习环在科技馆教育中的应用——以"大自然的恩赐"教案为例[J]. 科学教育, 2019.</w:t>
      </w:r>
    </w:p>
    <w:p w14:paraId="52723360">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[14] 郝杏丽. 馆校结合的小学科学探究式学习活动设计研究[D]. 2019.</w:t>
      </w:r>
    </w:p>
    <w:p w14:paraId="6A1C45FD">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[15] 朱家华. 基于馆校合作的科技馆科学教育研究[D]. 2020.</w:t>
      </w:r>
    </w:p>
    <w:p w14:paraId="019EE25B">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[16] 马莹华. 科技馆中基于STEAM的创客教育活动设计与应用研究[D]. 华中师范大学, 2017.</w:t>
      </w:r>
    </w:p>
    <w:p w14:paraId="4836783E">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[17] 王萍. 认知心理学视域下科技馆教育活动的设计研究——以临沂市科技馆为例[J]. 科普研究, 2023.</w:t>
      </w:r>
    </w:p>
    <w:p w14:paraId="0D770ED7">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[18] 刘慧高. 科技馆教育活动中的科学探究实践——以陕西科技馆"探究希罗喷泉"科学课程为例[J]. 科学教育与博物馆, 2021.</w:t>
      </w:r>
    </w:p>
    <w:p w14:paraId="151EBDA5">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[19] 刘芷廷. "引导式游戏"教学法研究综述——对科技馆学龄前儿童教育活动开发的启示[J]. 科学教育与博物馆, 2022.</w:t>
      </w:r>
    </w:p>
    <w:p w14:paraId="4B4B8022">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[20] 傅子杰. 智能技术赋能科技教育的实施路径探索——以中国科学技术馆"创造我的机器人"教育活动为例[J]. 科普研究, 2023.</w:t>
      </w:r>
    </w:p>
    <w:p w14:paraId="74E14C4B">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[21] 曹文思. 基于科技馆"解构—探究—解释"教学模式的颜色问题解决教学设计与实践——以"奇妙的颜色"课程为例[J]. 科学教育, 2022.</w:t>
      </w:r>
    </w:p>
    <w:p w14:paraId="77DF1B2F">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[22] 陈洁. 基于"综合、实践、探究"理念的馆、校、家合作小学科学教育活动——家庭科学实验开发实践[J]. 科学教育, 2022.</w:t>
      </w:r>
    </w:p>
    <w:p w14:paraId="3E965496">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[23] 刘强. STEAM理念下的科学教育活动项目开发[J]. 教育理论与实践, 2020.</w:t>
      </w:r>
    </w:p>
    <w:p w14:paraId="37AF0DC2">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[24] 王紫色. 科技与传统文化融合的展教模式研究——以中国科技馆"非遗+科技"主题教育活动为例[J]. 科普研究, 2023.</w:t>
      </w:r>
    </w:p>
    <w:p w14:paraId="09646C17">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[25] 罗秋实. 体验式学习在天文类教育活动设计中的应用——以湖北省科技馆"月相"主题教育活动为例[J]. 科学教育与博物馆, 2022.</w:t>
      </w:r>
    </w:p>
    <w:p w14:paraId="582E67F0">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[26] 万望辉. 小学天文与数学跨学科项目式活动的实践探索——以"小比例大智慧——手绘太阳系"教育活动为例[J]. 科学教育, 2023.</w:t>
      </w:r>
    </w:p>
    <w:p w14:paraId="62DA6787">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[27] Falk J H, Storksdieck M. Using the contextual model of learning to understand visitor learning from a science center exhibition[J]. Science Education, 2005, 89(5): 744-778.</w:t>
      </w:r>
    </w:p>
    <w:p w14:paraId="2FE16714">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[28] Falk J H, et al. Surveys confirm enormous value of science museums, free choice learning[J]. Journal of Research in Science Teaching, 2011.</w:t>
      </w:r>
    </w:p>
    <w:p w14:paraId="35AA3033">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[29] Rennie L J, Krishnamurthi M. Informal STEM education: What is it and what are its goals[R]. Australian Council for Educational Research, 2014.</w:t>
      </w:r>
    </w:p>
    <w:p w14:paraId="3A93C43B">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[30] Wasserman J A, Popson J C, Weiss M J. Strategic Outcomes Framework for Informal STEM Education and Evaluation[R]. 2022.</w:t>
      </w:r>
    </w:p>
    <w:p w14:paraId="2D030790">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[31] Burns T W, O'Connor D J, Stocklmayer S M. Science communication: A contemporary definition[J]. Public Understanding of Science, 2003, 12(2): 183-202.</w:t>
      </w:r>
    </w:p>
    <w:p w14:paraId="42421977">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[32] Leinhardt G, Knutson K. Listening in on Museum Conversations[M]. AltaMira Press, 2004.</w:t>
      </w:r>
    </w:p>
    <w:p w14:paraId="12606110">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[33] Haden C A, et al. Conversation and object manipulation influence children's learning in a museum[J]. Child Development, 2014, 85(5): 2029-2045.</w:t>
      </w:r>
    </w:p>
    <w:p w14:paraId="291AFA4C">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[34] Allen S, Crowley K. Challenging beliefs, practices, and content: How museum educators change[J]. Curator: The Museum Journal, 2014.</w:t>
      </w:r>
    </w:p>
    <w:p w14:paraId="7B5B7A5C">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[35] Kisiel J. Clarifying the complexities of school-museum interactions: Perspectives from two communities[J]. Journal of Research in Science Teaching, 2014, 51(3): 342-367.</w:t>
      </w:r>
    </w:p>
    <w:p w14:paraId="25BFB779">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[36] Judson E. Learning about bones at a science museum: Examining the alternate hypotheses of ceiling effect and prior knowledge[J]. Instructional Science, 2012, 40(6): 957-973.</w:t>
      </w:r>
    </w:p>
    <w:p w14:paraId="29FFFDA1">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[37] Gentner D, et al. Rapid learning in a children's museum via analogical comparison[J]. Cognitive Science, 2016, 40(1): 224-240.</w:t>
      </w:r>
    </w:p>
    <w:p w14:paraId="6C1C8E8C">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[38] O'Neill M C, Dufresne-Tasse C. Best practices in museum education and cultural programmes[R]. ICOM-CECA, 2014.</w:t>
      </w:r>
    </w:p>
    <w:p w14:paraId="68495D21">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[39] Smithsonian Institution. The Evaluation of Museum Educational Programs: A National Perspective[R]. 2004.</w:t>
      </w:r>
    </w:p>
    <w:p w14:paraId="15D0E546">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[40] Hooper-Greenhill E. Measuring Learning Outcomes in Museums, Archives and Libraries: The Learning Impact Research Project[R]. 2004.</w:t>
      </w:r>
    </w:p>
    <w:p w14:paraId="0AAEC336">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[41] 中华人民共和国国务院. 全民科学素质行动计划纲要(2006—2010—2020年)[Z]. 2006.</w:t>
      </w:r>
    </w:p>
    <w:p w14:paraId="458A8846">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[42] 中华人民共和国国务院. 全民科学素质行动规划纲要(2021—2035年)[Z]. 2021.</w:t>
      </w:r>
    </w:p>
    <w:p w14:paraId="743A6932">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[43] 中国科学技术协会. 中国科技馆发展报告[R]. 2024.</w:t>
      </w:r>
    </w:p>
    <w:p w14:paraId="699852BA">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[44] National Research Council. A Framework for K-12 Science Education: Practices, Crosscutting Concepts, and Core Ideas[M]. Washington, DC: National Academies Press, 2011.</w:t>
      </w:r>
    </w:p>
    <w:p w14:paraId="492B41E1">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[45] Creswell J W, Plano Clark V L. Designing and Conducting Mixed Methods Research(3rd ed.)[M]. SAGE Publications, 2017.</w:t>
      </w:r>
    </w:p>
    <w:p w14:paraId="5BB00759">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[46] Bybee R W, et al. The BSCS 5E Instructional Model: Origins and Effectiveness[R]. BSCS, 2006.</w:t>
      </w:r>
    </w:p>
    <w:p w14:paraId="4C590FAD">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[47] 裴娣娜. 现代教学论(第1-3卷)[M]. 北京: 人民教育出版社, 2005.</w:t>
      </w:r>
    </w:p>
    <w:p w14:paraId="05126F46">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[48] 高文. 情境学习与情境认知[J]. 教育发展研究, 2001(8): 30-35.</w:t>
      </w:r>
    </w:p>
    <w:p w14:paraId="5D4D481F">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[49] 王晶莹. 探究式学习: 理论、研究与实践[M]. 北京: 科学出版社, 2018.</w:t>
      </w:r>
    </w:p>
    <w:p w14:paraId="445C980D">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[50] ASTC. Annual Statistics Survey Report[R]. Association of Science-Technology Centers, 2023.</w:t>
      </w:r>
    </w:p>
    <w:p w14:paraId="30FBD8A2">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[51] 王甦, 汪安圣. 认知心理学[M]. 北京: 北京大学出版社, 1992.</w:t>
      </w:r>
    </w:p>
    <w:p w14:paraId="7C2FF552">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[52] 皮亚杰. 教育科学与儿童心理学[M]. 傅统先, 译. 北京: 教育科学出版社, 2018.</w:t>
      </w:r>
    </w:p>
    <w:p w14:paraId="7583A1D9">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[53] Diamond A. Executive Functions[J]. Annual Review of Psychology, 2013, 64: 135-168.</w:t>
      </w:r>
    </w:p>
    <w:p w14:paraId="3B11A6A3">
      <w:pPr>
        <w:pageBreakBefore w:val="0"/>
        <w:widowControl/>
        <w:kinsoku/>
        <w:wordWrap/>
        <w:overflowPunct/>
        <w:topLinePunct w:val="0"/>
        <w:autoSpaceDE/>
        <w:autoSpaceDN/>
        <w:bidi w:val="0"/>
        <w:adjustRightInd/>
        <w:snapToGrid/>
        <w:spacing w:after="0" w:line="360" w:lineRule="auto"/>
        <w:ind w:left="480" w:hanging="480"/>
        <w:textAlignment w:val="auto"/>
        <w:rPr>
          <w:rFonts w:hint="eastAsia" w:ascii="宋体" w:hAnsi="宋体" w:eastAsia="宋体" w:cs="宋体"/>
          <w:color w:val="auto"/>
        </w:rPr>
      </w:pPr>
      <w:r>
        <w:rPr>
          <w:rFonts w:hint="eastAsia" w:ascii="宋体" w:hAnsi="宋体" w:eastAsia="宋体" w:cs="宋体"/>
          <w:color w:val="auto"/>
          <w:sz w:val="21"/>
        </w:rPr>
        <w:t>[54] Vossoughi S, Bevan B. Making and Tinkering: A Review of the Literature[R]. National Research Council Committee on Out of School Time STEM, 2014.</w:t>
      </w:r>
    </w:p>
    <w:p w14:paraId="10D0E6EF">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p>
    <w:sectPr>
      <w:headerReference r:id="rId5" w:type="default"/>
      <w:footerReference r:id="rId6" w:type="default"/>
      <w:pgSz w:w="11906" w:h="16838"/>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569FE">
    <w:pPr>
      <w:jc w:val="center"/>
    </w:pPr>
    <w:r>
      <w:rPr>
        <w:rFonts w:ascii="Times New Roman" w:hAnsi="Times New Roman" w:eastAsia="宋体"/>
        <w:color w:val="8FA8B8"/>
        <w:sz w:val="18"/>
      </w:rPr>
      <w:t xml:space="preserve">— </w:t>
    </w:r>
    <w:r>
      <w:rPr>
        <w:color w:val="8FA8B8"/>
        <w:sz w:val="18"/>
      </w:rPr>
      <w:fldChar w:fldCharType="begin"/>
    </w:r>
    <w:r>
      <w:rPr>
        <w:color w:val="8FA8B8"/>
        <w:sz w:val="18"/>
      </w:rPr>
      <w:instrText xml:space="preserve"> PAGE </w:instrText>
    </w:r>
    <w:r>
      <w:rPr>
        <w:color w:val="8FA8B8"/>
        <w:sz w:val="18"/>
      </w:rPr>
      <w:fldChar w:fldCharType="separate"/>
    </w:r>
    <w:r>
      <w:rPr>
        <w:color w:val="8FA8B8"/>
        <w:sz w:val="18"/>
      </w:rPr>
      <w:t>1</w:t>
    </w:r>
    <w:r>
      <w:rPr>
        <w:color w:val="8FA8B8"/>
        <w:sz w:val="18"/>
      </w:rPr>
      <w:fldChar w:fldCharType="end"/>
    </w:r>
    <w:r>
      <w:rPr>
        <w:rFonts w:ascii="Times New Roman" w:hAnsi="Times New Roman" w:eastAsia="宋体"/>
        <w:color w:val="8FA8B8"/>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00" w:lineRule="auto"/>
      </w:pPr>
      <w:r>
        <w:separator/>
      </w:r>
    </w:p>
  </w:footnote>
  <w:footnote w:type="continuationSeparator" w:id="1">
    <w:p>
      <w:pPr>
        <w:spacing w:before="0" w:after="0" w:line="4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4ECBC">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3DA0043E"/>
    <w:rsid w:val="68F10C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400" w:lineRule="auto"/>
      <w:ind w:firstLine="480"/>
    </w:pPr>
    <w:rPr>
      <w:rFonts w:ascii="Times New Roman" w:hAnsi="Times New Roman" w:eastAsia="宋体"/>
      <w:color w:val="1A2A3A"/>
      <w:sz w:val="24"/>
      <w:szCs w:val="22"/>
    </w:rPr>
  </w:style>
  <w:style w:type="paragraph" w:styleId="2">
    <w:name w:val="heading 1"/>
    <w:basedOn w:val="1"/>
    <w:uiPriority w:val="0"/>
    <w:pPr>
      <w:keepNext/>
      <w:keepLines/>
      <w:spacing w:before="600" w:after="240"/>
      <w:ind w:firstLine="0"/>
      <w:outlineLvl w:val="0"/>
    </w:pPr>
    <w:rPr>
      <w:rFonts w:ascii="Times New Roman" w:hAnsi="Times New Roman" w:eastAsia="黑体"/>
      <w:b/>
      <w:color w:val="2D4A5E"/>
      <w:sz w:val="36"/>
    </w:rPr>
  </w:style>
  <w:style w:type="paragraph" w:styleId="3">
    <w:name w:val="heading 2"/>
    <w:basedOn w:val="1"/>
    <w:qFormat/>
    <w:uiPriority w:val="0"/>
    <w:pPr>
      <w:keepNext/>
      <w:keepLines/>
      <w:spacing w:before="400" w:after="160"/>
      <w:ind w:firstLine="0"/>
      <w:outlineLvl w:val="1"/>
    </w:pPr>
    <w:rPr>
      <w:rFonts w:ascii="Times New Roman" w:hAnsi="Times New Roman" w:eastAsia="黑体"/>
      <w:b/>
      <w:color w:val="1A2A3A"/>
      <w:sz w:val="28"/>
    </w:rPr>
  </w:style>
  <w:style w:type="paragraph" w:styleId="4">
    <w:name w:val="heading 3"/>
    <w:basedOn w:val="1"/>
    <w:qFormat/>
    <w:uiPriority w:val="0"/>
    <w:pPr>
      <w:keepNext/>
      <w:keepLines/>
      <w:spacing w:before="280" w:after="120"/>
      <w:ind w:firstLine="0"/>
      <w:outlineLvl w:val="2"/>
    </w:pPr>
    <w:rPr>
      <w:rFonts w:ascii="Times New Roman" w:hAnsi="Times New Roman" w:eastAsia="黑体"/>
      <w:b/>
      <w:color w:val="3D5A6E"/>
      <w:sz w:val="24"/>
    </w:rPr>
  </w:style>
  <w:style w:type="character" w:default="1" w:styleId="12">
    <w:name w:val="Default Paragraph Font"/>
    <w:autoRedefine/>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5">
    <w:name w:val="caption"/>
    <w:basedOn w:val="1"/>
    <w:uiPriority w:val="0"/>
    <w:pPr>
      <w:spacing w:before="60" w:after="320"/>
      <w:ind w:firstLine="0"/>
      <w:jc w:val="center"/>
    </w:pPr>
    <w:rPr>
      <w:rFonts w:ascii="Times New Roman" w:hAnsi="Times New Roman" w:eastAsia="宋体"/>
      <w:color w:val="8FA8B8"/>
      <w:sz w:val="21"/>
    </w:rPr>
  </w:style>
  <w:style w:type="paragraph" w:styleId="6">
    <w:name w:val="toc 3"/>
    <w:basedOn w:val="1"/>
    <w:uiPriority w:val="0"/>
    <w:pPr>
      <w:tabs>
        <w:tab w:val="right" w:leader="dot" w:pos="8500"/>
      </w:tabs>
      <w:spacing w:before="40" w:after="60"/>
      <w:ind w:left="720" w:firstLine="0"/>
    </w:pPr>
    <w:rPr>
      <w:rFonts w:ascii="Times New Roman" w:hAnsi="Times New Roman" w:eastAsia="宋体"/>
      <w:color w:val="3D5A6E"/>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0"/>
    <w:pPr>
      <w:tabs>
        <w:tab w:val="right" w:leader="dot" w:pos="8500"/>
      </w:tabs>
      <w:spacing w:before="200" w:after="60"/>
      <w:ind w:left="0" w:firstLine="0"/>
    </w:pPr>
    <w:rPr>
      <w:rFonts w:ascii="Times New Roman" w:hAnsi="Times New Roman" w:eastAsia="宋体"/>
      <w:b/>
      <w:color w:val="1A2A3A"/>
    </w:rPr>
  </w:style>
  <w:style w:type="paragraph" w:styleId="10">
    <w:name w:val="toc 2"/>
    <w:basedOn w:val="1"/>
    <w:qFormat/>
    <w:uiPriority w:val="0"/>
    <w:pPr>
      <w:tabs>
        <w:tab w:val="right" w:leader="dot" w:pos="8500"/>
      </w:tabs>
      <w:spacing w:before="60" w:after="60"/>
      <w:ind w:left="360" w:firstLine="0"/>
    </w:pPr>
    <w:rPr>
      <w:rFonts w:ascii="Times New Roman" w:hAnsi="Times New Roman" w:eastAsia="宋体"/>
      <w:color w:val="3D5A6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50</Pages>
  <Words>36784</Words>
  <Characters>43811</Characters>
  <TotalTime>6</TotalTime>
  <ScaleCrop>false</ScaleCrop>
  <LinksUpToDate>false</LinksUpToDate>
  <CharactersWithSpaces>45012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2026-07-07T06:23:10Z</dcterms:created>
  <dc:creator>Administrator</dc:creator>
  <cp:lastModifiedBy>清风听雨</cp:lastModifiedBy>
  <dcterms:modified xsi:type="dcterms:W3CDTF">2026-07-07T06:30:01Z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eyJoZGlkIjoiZjk2NzM3ZjI4ZTc0N2UyMjM0MGJkOGYxY2U5ZDlkNjQiLCJ1c2VySWQiOiIxMTI1NzI4NzA1In0=</vt:lpwstr>
  </property>
  <property fmtid="{D5CDD505-2E9C-101B-9397-08002B2CF9AE}" pid="3" name="KSOProductBuildVer">
    <vt:lpwstr>2052-12.1.0.26895</vt:lpwstr>
  </property>
  <property fmtid="{D5CDD505-2E9C-101B-9397-08002B2CF9AE}" pid="4" name="ICV">
    <vt:lpwstr>48A264D9BFBE43A3A2CD7CD1C5950AE7_12</vt:lpwstr>
  </property>
</Properties>
</file>