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AA508">
      <w:pPr>
        <w:pStyle w:val="2"/>
        <w:keepNext w:val="0"/>
        <w:keepLines w:val="0"/>
        <w:pageBreakBefore w:val="0"/>
        <w:widowControl/>
        <w:kinsoku/>
        <w:wordWrap/>
        <w:overflowPunct/>
        <w:topLinePunct w:val="0"/>
        <w:autoSpaceDE/>
        <w:autoSpaceDN/>
        <w:bidi w:val="0"/>
        <w:adjustRightInd/>
        <w:snapToGrid/>
        <w:spacing w:before="0" w:after="0" w:line="240" w:lineRule="auto"/>
        <w:jc w:val="center"/>
        <w:textAlignment w:val="baseline"/>
        <w:rPr>
          <w:rFonts w:hint="eastAsia" w:ascii="宋体" w:hAnsi="宋体" w:eastAsia="宋体" w:cs="宋体"/>
          <w:sz w:val="32"/>
          <w:szCs w:val="32"/>
        </w:rPr>
      </w:pPr>
      <w:r>
        <w:rPr>
          <w:rFonts w:hint="eastAsia" w:ascii="宋体" w:hAnsi="宋体" w:eastAsia="宋体" w:cs="宋体"/>
          <w:sz w:val="32"/>
          <w:szCs w:val="32"/>
        </w:rPr>
        <w:t>AISTEC：面向科普场馆的AI驱动科学教育活动智能创作框架</w:t>
      </w:r>
    </w:p>
    <w:p w14:paraId="2446DBB9">
      <w:pPr>
        <w:keepNext w:val="0"/>
        <w:keepLines w:val="0"/>
        <w:pageBreakBefore w:val="0"/>
        <w:widowControl/>
        <w:kinsoku/>
        <w:wordWrap/>
        <w:overflowPunct/>
        <w:topLinePunct w:val="0"/>
        <w:autoSpaceDE/>
        <w:autoSpaceDN/>
        <w:bidi w:val="0"/>
        <w:adjustRightInd/>
        <w:snapToGrid/>
        <w:spacing w:before="0" w:after="0" w:line="240" w:lineRule="auto"/>
        <w:jc w:val="center"/>
        <w:textAlignment w:val="baseline"/>
        <w:outlineLvl w:val="9"/>
        <w:rPr>
          <w:rFonts w:hint="eastAsia" w:ascii="宋体" w:hAnsi="宋体" w:eastAsia="宋体" w:cs="宋体"/>
          <w:sz w:val="32"/>
          <w:szCs w:val="32"/>
        </w:rPr>
      </w:pPr>
    </w:p>
    <w:p w14:paraId="082847BC">
      <w:pPr>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outlineLvl w:val="9"/>
        <w:rPr>
          <w:rFonts w:hint="eastAsia" w:ascii="宋体" w:hAnsi="宋体" w:eastAsia="宋体" w:cs="宋体"/>
          <w:b w:val="0"/>
          <w:bCs/>
          <w:sz w:val="21"/>
          <w:szCs w:val="21"/>
        </w:rPr>
      </w:pPr>
      <w:r>
        <w:rPr>
          <w:rFonts w:hint="eastAsia" w:ascii="宋体" w:hAnsi="宋体" w:eastAsia="宋体" w:cs="宋体"/>
          <w:b/>
          <w:bCs w:val="0"/>
          <w:sz w:val="21"/>
          <w:szCs w:val="21"/>
        </w:rPr>
        <w:t>摘要</w:t>
      </w:r>
      <w:r>
        <w:rPr>
          <w:rFonts w:hint="eastAsia" w:ascii="宋体" w:hAnsi="宋体" w:eastAsia="宋体" w:cs="宋体"/>
          <w:b/>
          <w:bCs w:val="0"/>
          <w:sz w:val="21"/>
          <w:szCs w:val="21"/>
          <w:lang w:eastAsia="zh-CN"/>
        </w:rPr>
        <w:t>：</w:t>
      </w:r>
      <w:r>
        <w:rPr>
          <w:rFonts w:hint="eastAsia" w:ascii="宋体" w:hAnsi="宋体" w:eastAsia="宋体" w:cs="宋体"/>
          <w:b w:val="0"/>
          <w:bCs/>
          <w:sz w:val="21"/>
          <w:szCs w:val="21"/>
        </w:rPr>
        <w:t>随着大语言模型（LLM）、数字人、沉浸式交互等人工智能技术的快速发展，科普教育正面临从</w:t>
      </w:r>
      <w:r>
        <w:rPr>
          <w:rFonts w:hint="eastAsia" w:ascii="宋体" w:hAnsi="宋体" w:eastAsia="宋体" w:cs="宋体"/>
          <w:b w:val="0"/>
          <w:bCs/>
          <w:sz w:val="21"/>
          <w:szCs w:val="21"/>
          <w:lang w:val="en-US" w:eastAsia="zh-CN"/>
        </w:rPr>
        <w:t>“</w:t>
      </w:r>
      <w:r>
        <w:rPr>
          <w:rFonts w:hint="eastAsia" w:ascii="宋体" w:hAnsi="宋体" w:eastAsia="宋体" w:cs="宋体"/>
          <w:b w:val="0"/>
          <w:bCs/>
          <w:sz w:val="21"/>
          <w:szCs w:val="21"/>
        </w:rPr>
        <w:t>经验驱动</w:t>
      </w:r>
      <w:r>
        <w:rPr>
          <w:rFonts w:hint="eastAsia" w:ascii="宋体" w:hAnsi="宋体" w:eastAsia="宋体" w:cs="宋体"/>
          <w:b w:val="0"/>
          <w:bCs/>
          <w:sz w:val="21"/>
          <w:szCs w:val="21"/>
          <w:lang w:eastAsia="zh-CN"/>
        </w:rPr>
        <w:t>”</w:t>
      </w:r>
      <w:r>
        <w:rPr>
          <w:rFonts w:hint="eastAsia" w:ascii="宋体" w:hAnsi="宋体" w:eastAsia="宋体" w:cs="宋体"/>
          <w:b w:val="0"/>
          <w:bCs/>
          <w:sz w:val="21"/>
          <w:szCs w:val="21"/>
        </w:rPr>
        <w:t>向</w:t>
      </w:r>
      <w:r>
        <w:rPr>
          <w:rFonts w:hint="eastAsia" w:ascii="宋体" w:hAnsi="宋体" w:eastAsia="宋体" w:cs="宋体"/>
          <w:b w:val="0"/>
          <w:bCs/>
          <w:sz w:val="21"/>
          <w:szCs w:val="21"/>
          <w:lang w:eastAsia="zh-CN"/>
        </w:rPr>
        <w:t>“</w:t>
      </w:r>
      <w:r>
        <w:rPr>
          <w:rFonts w:hint="eastAsia" w:ascii="宋体" w:hAnsi="宋体" w:eastAsia="宋体" w:cs="宋体"/>
          <w:b w:val="0"/>
          <w:bCs/>
          <w:sz w:val="21"/>
          <w:szCs w:val="21"/>
        </w:rPr>
        <w:t>智能驱动</w:t>
      </w:r>
      <w:r>
        <w:rPr>
          <w:rFonts w:hint="eastAsia" w:ascii="宋体" w:hAnsi="宋体" w:eastAsia="宋体" w:cs="宋体"/>
          <w:b w:val="0"/>
          <w:bCs/>
          <w:sz w:val="21"/>
          <w:szCs w:val="21"/>
          <w:lang w:eastAsia="zh-CN"/>
        </w:rPr>
        <w:t>”</w:t>
      </w:r>
      <w:r>
        <w:rPr>
          <w:rFonts w:hint="eastAsia" w:ascii="宋体" w:hAnsi="宋体" w:eastAsia="宋体" w:cs="宋体"/>
          <w:b w:val="0"/>
          <w:bCs/>
          <w:sz w:val="21"/>
          <w:szCs w:val="21"/>
        </w:rPr>
        <w:t>的范式转型。然而，当前AI在科学教育内容创作中的应用仍面临知识准确性难保障、活动内容同质化严重、场景适配能力不足等核心挑战。本文提出 AISTEC（AI-driven Integrated Science Education Content Creation Framework），一种面向科普场馆的AI驱动科学教育活动智能创作框架。该框架融合了研究脉络智能梳理（集成CiteSpace/VOSviewer文献计量分析与PRISMA系统筛选）、教育活动知识解构（支持14种教学法框架的智能选择与UDL差异化设计）、模板模式迁移学习（九阶段多维质量分析）三大核心技术模块，构建了"知识验证-内容生成-质量保障-场景适配"四位一体的创作流水线。AISTEC 创新性地引入了五层幻觉检测机制和三层纠错架构，确保科学知识的准确性与教育活动的安全性；通过框架智能选择引擎自动匹配最优教学法（5E、PBL、SSI、Design Thinking等14种框架）；通过UDL差异化设计保障教育公平与包容性；通过形成性评估检查点嵌入实现学习过程的实时诊断与干预。同时通过模板智能提取与迁移技术，实现了从优质活动案例到标准化创作范式的知识沉淀。本文详细阐述了AISTEC 的架构设计、关键技术路径，以及在智能天象制作、沉浸式数字内容、数字辅导员、PBL项目式学习、SSI社会性科学议题等场景中的应用实践，并探讨了AI赋能科普教育的伦理规范与治理路径。实验结果表明，AISTEC 在活动内容科学性、教育有效性、教育公平性、创作效率四个维度上均显著优于传统人工创作模式，为人工智能技术深度融入科学文化创作提供了可落地的系统性解决方案。</w:t>
      </w:r>
    </w:p>
    <w:p w14:paraId="698A673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关键词</w:t>
      </w:r>
      <w:r>
        <w:rPr>
          <w:rFonts w:hint="eastAsia" w:ascii="宋体" w:hAnsi="宋体" w:eastAsia="宋体" w:cs="宋体"/>
          <w:sz w:val="21"/>
          <w:szCs w:val="21"/>
        </w:rPr>
        <w:t>：人工智能；科学教育；科普场馆；大语言模型；内容创作；活动设计；数字人；沉浸式交互</w:t>
      </w:r>
    </w:p>
    <w:p w14:paraId="034943BA">
      <w:pPr>
        <w:pStyle w:val="3"/>
        <w:keepNext w:val="0"/>
        <w:keepLines w:val="0"/>
        <w:pageBreakBefore w:val="0"/>
        <w:widowControl/>
        <w:numPr>
          <w:numId w:val="0"/>
        </w:numPr>
        <w:kinsoku/>
        <w:wordWrap/>
        <w:overflowPunct/>
        <w:topLinePunct w:val="0"/>
        <w:autoSpaceDE/>
        <w:autoSpaceDN/>
        <w:bidi w:val="0"/>
        <w:adjustRightInd/>
        <w:snapToGrid/>
        <w:spacing w:before="0" w:after="0"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lang w:val="en-US" w:eastAsia="zh-CN"/>
        </w:rPr>
        <w:t>一、</w:t>
      </w:r>
      <w:r>
        <w:rPr>
          <w:rFonts w:hint="eastAsia" w:ascii="宋体" w:hAnsi="宋体" w:eastAsia="宋体" w:cs="宋体"/>
          <w:sz w:val="21"/>
          <w:szCs w:val="21"/>
        </w:rPr>
        <w:t>引言</w:t>
      </w:r>
    </w:p>
    <w:p w14:paraId="726A89C5">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一）</w:t>
      </w:r>
      <w:r>
        <w:rPr>
          <w:rFonts w:hint="eastAsia" w:ascii="宋体" w:hAnsi="宋体" w:eastAsia="宋体" w:cs="宋体"/>
          <w:sz w:val="21"/>
          <w:szCs w:val="21"/>
        </w:rPr>
        <w:t>研究背景</w:t>
      </w:r>
    </w:p>
    <w:p w14:paraId="447916B9">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科学教育是提升公民科学素养、培养创新人才的基础工程。科技馆、天文馆等科普场馆作为非正式科学教育的主阵地，承担着连接公众与科学知识的关键桥梁作用。然而，优质科学教育活动的创作长期面临三重困境：</w:t>
      </w:r>
      <w:r>
        <w:rPr>
          <w:rFonts w:hint="eastAsia" w:ascii="宋体" w:hAnsi="宋体" w:eastAsia="宋体" w:cs="宋体"/>
          <w:b/>
          <w:bCs/>
          <w:sz w:val="21"/>
          <w:szCs w:val="21"/>
        </w:rPr>
        <w:t>知识壁垒</w:t>
      </w:r>
      <w:r>
        <w:rPr>
          <w:rFonts w:hint="eastAsia" w:ascii="宋体" w:hAnsi="宋体" w:eastAsia="宋体" w:cs="宋体"/>
          <w:sz w:val="21"/>
          <w:szCs w:val="21"/>
        </w:rPr>
        <w:t>（科学原理的准确传达需要深厚的学科背景）、</w:t>
      </w:r>
      <w:r>
        <w:rPr>
          <w:rFonts w:hint="eastAsia" w:ascii="宋体" w:hAnsi="宋体" w:eastAsia="宋体" w:cs="宋体"/>
          <w:b/>
          <w:bCs/>
          <w:sz w:val="21"/>
          <w:szCs w:val="21"/>
        </w:rPr>
        <w:t>经验依赖</w:t>
      </w:r>
      <w:r>
        <w:rPr>
          <w:rFonts w:hint="eastAsia" w:ascii="宋体" w:hAnsi="宋体" w:eastAsia="宋体" w:cs="宋体"/>
          <w:sz w:val="21"/>
          <w:szCs w:val="21"/>
        </w:rPr>
        <w:t>（优秀辅导员的培养周期长、难以规模化复制）、</w:t>
      </w:r>
      <w:r>
        <w:rPr>
          <w:rFonts w:hint="eastAsia" w:ascii="宋体" w:hAnsi="宋体" w:eastAsia="宋体" w:cs="宋体"/>
          <w:b/>
          <w:bCs/>
          <w:sz w:val="21"/>
          <w:szCs w:val="21"/>
        </w:rPr>
        <w:t>场景割裂</w:t>
      </w:r>
      <w:r>
        <w:rPr>
          <w:rFonts w:hint="eastAsia" w:ascii="宋体" w:hAnsi="宋体" w:eastAsia="宋体" w:cs="宋体"/>
          <w:sz w:val="21"/>
          <w:szCs w:val="21"/>
        </w:rPr>
        <w:t>（传统活动内容难以适配数字化展陈与沉浸式体验的新需求）。</w:t>
      </w:r>
    </w:p>
    <w:p w14:paraId="5F28E14D">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近年来，以 GPT-4、Claude、Kimi 等为代表的大语言模型（Large Language Model, LLM）展现出强大的文本生成与知识推理能力，为科学教育内容创作带来了新的可能性。与此同时，数字人（Digital Human）、多模态生成（AIGC）、虚拟现实（VR/AR/MR）等技术的成熟，正在重塑科普场馆的展陈形态与传播方式。如何将这些前沿AI技术有机整合，构建一套既保证科学准确性、又具备教育有效性、还能适配多元场景的智能创作体系，成为当前科普教育领域亟待解决的关键问题。</w:t>
      </w:r>
      <w:bookmarkStart w:id="0" w:name="_GoBack"/>
      <w:bookmarkEnd w:id="0"/>
    </w:p>
    <w:p w14:paraId="5D0F21DD">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二）</w:t>
      </w:r>
      <w:r>
        <w:rPr>
          <w:rFonts w:hint="eastAsia" w:ascii="宋体" w:hAnsi="宋体" w:eastAsia="宋体" w:cs="宋体"/>
          <w:sz w:val="21"/>
          <w:szCs w:val="21"/>
        </w:rPr>
        <w:t>核心问题</w:t>
      </w:r>
    </w:p>
    <w:p w14:paraId="63B94296">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尽管AI技术为科普教育带来了机遇，但其在实际落地中仍面临六重挑战。第一，</w:t>
      </w:r>
      <w:r>
        <w:rPr>
          <w:rFonts w:hint="eastAsia" w:ascii="宋体" w:hAnsi="宋体" w:eastAsia="宋体" w:cs="宋体"/>
          <w:b/>
          <w:bCs/>
          <w:sz w:val="21"/>
          <w:szCs w:val="21"/>
        </w:rPr>
        <w:t>科学准确性危机</w:t>
      </w:r>
      <w:r>
        <w:rPr>
          <w:rFonts w:hint="eastAsia" w:ascii="宋体" w:hAnsi="宋体" w:eastAsia="宋体" w:cs="宋体"/>
          <w:sz w:val="21"/>
          <w:szCs w:val="21"/>
        </w:rPr>
        <w:t>。LLM存在的</w:t>
      </w:r>
      <w:r>
        <w:rPr>
          <w:rFonts w:hint="eastAsia" w:ascii="宋体" w:hAnsi="宋体" w:eastAsia="宋体" w:cs="宋体"/>
          <w:sz w:val="21"/>
          <w:szCs w:val="21"/>
          <w:lang w:eastAsia="zh-CN"/>
        </w:rPr>
        <w:t>“</w:t>
      </w:r>
      <w:r>
        <w:rPr>
          <w:rFonts w:hint="eastAsia" w:ascii="宋体" w:hAnsi="宋体" w:eastAsia="宋体" w:cs="宋体"/>
          <w:sz w:val="21"/>
          <w:szCs w:val="21"/>
        </w:rPr>
        <w:t>幻觉</w:t>
      </w:r>
      <w:r>
        <w:rPr>
          <w:rFonts w:hint="eastAsia" w:ascii="宋体" w:hAnsi="宋体" w:eastAsia="宋体" w:cs="宋体"/>
          <w:sz w:val="21"/>
          <w:szCs w:val="21"/>
          <w:lang w:eastAsia="zh-CN"/>
        </w:rPr>
        <w:t>”</w:t>
      </w:r>
      <w:r>
        <w:rPr>
          <w:rFonts w:hint="eastAsia" w:ascii="宋体" w:hAnsi="宋体" w:eastAsia="宋体" w:cs="宋体"/>
          <w:sz w:val="21"/>
          <w:szCs w:val="21"/>
        </w:rPr>
        <w:t>（Hallucination）问题可能导致生成看似合理但实则错误的科学内容，而在科普教育场景中，一个错误的物理公式或扭曲的历史事实可能误导大量学习者，其危害远超一般文本生成场景。第二，</w:t>
      </w:r>
      <w:r>
        <w:rPr>
          <w:rFonts w:hint="eastAsia" w:ascii="宋体" w:hAnsi="宋体" w:eastAsia="宋体" w:cs="宋体"/>
          <w:b/>
          <w:bCs/>
          <w:sz w:val="21"/>
          <w:szCs w:val="21"/>
        </w:rPr>
        <w:t>创作同质化与平庸化</w:t>
      </w:r>
      <w:r>
        <w:rPr>
          <w:rFonts w:hint="eastAsia" w:ascii="宋体" w:hAnsi="宋体" w:eastAsia="宋体" w:cs="宋体"/>
          <w:sz w:val="21"/>
          <w:szCs w:val="21"/>
        </w:rPr>
        <w:t>。直接调用通用LLM生成的活动内容往往缺乏 pedagogical depth（教学深度），呈现为"科学上无误、教育上无效"的"平庸表述"，缺乏探究性、互动性和认知挑战性。第三，</w:t>
      </w:r>
      <w:r>
        <w:rPr>
          <w:rFonts w:hint="eastAsia" w:ascii="宋体" w:hAnsi="宋体" w:eastAsia="宋体" w:cs="宋体"/>
          <w:b/>
          <w:bCs/>
          <w:sz w:val="21"/>
          <w:szCs w:val="21"/>
        </w:rPr>
        <w:t>场景适配能力不足</w:t>
      </w:r>
      <w:r>
        <w:rPr>
          <w:rFonts w:hint="eastAsia" w:ascii="宋体" w:hAnsi="宋体" w:eastAsia="宋体" w:cs="宋体"/>
          <w:sz w:val="21"/>
          <w:szCs w:val="21"/>
        </w:rPr>
        <w:t>。现有AI生成工具多面向通用文本场景，缺乏对科普场馆特殊环境——包括展厅动线、展品锚点、家庭亲子组合、安全预案、人流管理等要素——的深度理解，难以将这些约束有效纳入创作流程。第四，</w:t>
      </w:r>
      <w:r>
        <w:rPr>
          <w:rFonts w:hint="eastAsia" w:ascii="宋体" w:hAnsi="宋体" w:eastAsia="宋体" w:cs="宋体"/>
          <w:b/>
          <w:bCs/>
          <w:sz w:val="21"/>
          <w:szCs w:val="21"/>
        </w:rPr>
        <w:t>知识沉淀困难</w:t>
      </w:r>
      <w:r>
        <w:rPr>
          <w:rFonts w:hint="eastAsia" w:ascii="宋体" w:hAnsi="宋体" w:eastAsia="宋体" w:cs="宋体"/>
          <w:sz w:val="21"/>
          <w:szCs w:val="21"/>
        </w:rPr>
        <w:t>。优秀辅导员积累的优质活动方案、辅导词、实验设计等经验资产难以被系统化提取、标准化复用和智能化迁移，导致机构层面的知识积累呈现碎片化状态。第五，</w:t>
      </w:r>
      <w:r>
        <w:rPr>
          <w:rFonts w:hint="eastAsia" w:ascii="宋体" w:hAnsi="宋体" w:eastAsia="宋体" w:cs="宋体"/>
          <w:b/>
          <w:bCs/>
          <w:sz w:val="21"/>
          <w:szCs w:val="21"/>
        </w:rPr>
        <w:t>教育公平性缺失</w:t>
      </w:r>
      <w:r>
        <w:rPr>
          <w:rFonts w:hint="eastAsia" w:ascii="宋体" w:hAnsi="宋体" w:eastAsia="宋体" w:cs="宋体"/>
          <w:sz w:val="21"/>
          <w:szCs w:val="21"/>
        </w:rPr>
        <w:t>。现有活动方案普遍缺乏基于通用学习设计（UDL）的无障碍设计，未能充分考虑视觉/听觉/认知障碍者、不同文化背景学习者以及经济欠发达地区场馆的可及性需求，从而加剧了科学教育机会的不平等。第六，</w:t>
      </w:r>
      <w:r>
        <w:rPr>
          <w:rFonts w:hint="eastAsia" w:ascii="宋体" w:hAnsi="宋体" w:eastAsia="宋体" w:cs="宋体"/>
          <w:b/>
          <w:bCs/>
          <w:sz w:val="21"/>
          <w:szCs w:val="21"/>
        </w:rPr>
        <w:t>评估嵌入不足</w:t>
      </w:r>
      <w:r>
        <w:rPr>
          <w:rFonts w:hint="eastAsia" w:ascii="宋体" w:hAnsi="宋体" w:eastAsia="宋体" w:cs="宋体"/>
          <w:sz w:val="21"/>
          <w:szCs w:val="21"/>
        </w:rPr>
        <w:t>。传统活动方案多在活动结束后进行总结性评价，缺乏嵌入学习过程中的形成性评估检查点，无法实时诊断学习困难并及时实施干预。上述六重挑战相互交织，构成了当前AI赋能科普教育面临的核心瓶颈。</w:t>
      </w:r>
    </w:p>
    <w:p w14:paraId="1BE7F3A9">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三）</w:t>
      </w:r>
      <w:r>
        <w:rPr>
          <w:rFonts w:hint="eastAsia" w:ascii="宋体" w:hAnsi="宋体" w:eastAsia="宋体" w:cs="宋体"/>
          <w:sz w:val="21"/>
          <w:szCs w:val="21"/>
        </w:rPr>
        <w:t>本文贡献</w:t>
      </w:r>
    </w:p>
    <w:p w14:paraId="64C50959">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针对上述问题，本文提出 AISTEC 框架，其核心贡献包括：</w:t>
      </w:r>
    </w:p>
    <w:p w14:paraId="4BBD3746">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提出四位一体创作流水线</w:t>
      </w:r>
      <w:r>
        <w:rPr>
          <w:rFonts w:hint="eastAsia" w:ascii="宋体" w:hAnsi="宋体" w:eastAsia="宋体" w:cs="宋体"/>
          <w:sz w:val="21"/>
          <w:szCs w:val="21"/>
        </w:rPr>
        <w:t>：整合</w:t>
      </w:r>
      <w:r>
        <w:rPr>
          <w:rFonts w:hint="eastAsia" w:ascii="宋体" w:hAnsi="宋体" w:eastAsia="宋体" w:cs="宋体"/>
          <w:sz w:val="21"/>
          <w:szCs w:val="21"/>
          <w:lang w:eastAsia="zh-CN"/>
        </w:rPr>
        <w:t>“</w:t>
      </w:r>
      <w:r>
        <w:rPr>
          <w:rFonts w:hint="eastAsia" w:ascii="宋体" w:hAnsi="宋体" w:eastAsia="宋体" w:cs="宋体"/>
          <w:sz w:val="21"/>
          <w:szCs w:val="21"/>
        </w:rPr>
        <w:t>研究脉络梳理→知识解构→内容生成→场景适配</w:t>
      </w:r>
      <w:r>
        <w:rPr>
          <w:rFonts w:hint="eastAsia" w:ascii="宋体" w:hAnsi="宋体" w:eastAsia="宋体" w:cs="宋体"/>
          <w:sz w:val="21"/>
          <w:szCs w:val="21"/>
          <w:lang w:eastAsia="zh-CN"/>
        </w:rPr>
        <w:t>”</w:t>
      </w:r>
      <w:r>
        <w:rPr>
          <w:rFonts w:hint="eastAsia" w:ascii="宋体" w:hAnsi="宋体" w:eastAsia="宋体" w:cs="宋体"/>
          <w:sz w:val="21"/>
          <w:szCs w:val="21"/>
        </w:rPr>
        <w:t>全流程，实现从科学概念到可执行活动方案的端到端智能创作。</w:t>
      </w:r>
    </w:p>
    <w:p w14:paraId="2A0BB88C">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构建文献计量驱动的研究脉络梳理引擎</w:t>
      </w:r>
      <w:r>
        <w:rPr>
          <w:rFonts w:hint="eastAsia" w:ascii="宋体" w:hAnsi="宋体" w:eastAsia="宋体" w:cs="宋体"/>
          <w:sz w:val="21"/>
          <w:szCs w:val="21"/>
        </w:rPr>
        <w:t>：集成CiteSpace/VOSviewer共被引网络分析、Kleinberg引用爆发检测、PRISMA系统筛选等方法，实现从</w:t>
      </w:r>
      <w:r>
        <w:rPr>
          <w:rFonts w:hint="eastAsia" w:ascii="宋体" w:hAnsi="宋体" w:eastAsia="宋体" w:cs="宋体"/>
          <w:sz w:val="21"/>
          <w:szCs w:val="21"/>
          <w:lang w:eastAsia="zh-CN"/>
        </w:rPr>
        <w:t>“</w:t>
      </w:r>
      <w:r>
        <w:rPr>
          <w:rFonts w:hint="eastAsia" w:ascii="宋体" w:hAnsi="宋体" w:eastAsia="宋体" w:cs="宋体"/>
          <w:sz w:val="21"/>
          <w:szCs w:val="21"/>
        </w:rPr>
        <w:t>人工检索</w:t>
      </w:r>
      <w:r>
        <w:rPr>
          <w:rFonts w:hint="eastAsia" w:ascii="宋体" w:hAnsi="宋体" w:eastAsia="宋体" w:cs="宋体"/>
          <w:sz w:val="21"/>
          <w:szCs w:val="21"/>
          <w:lang w:eastAsia="zh-CN"/>
        </w:rPr>
        <w:t>”</w:t>
      </w:r>
      <w:r>
        <w:rPr>
          <w:rFonts w:hint="eastAsia" w:ascii="宋体" w:hAnsi="宋体" w:eastAsia="宋体" w:cs="宋体"/>
          <w:sz w:val="21"/>
          <w:szCs w:val="21"/>
        </w:rPr>
        <w:t>到</w:t>
      </w:r>
      <w:r>
        <w:rPr>
          <w:rFonts w:hint="eastAsia" w:ascii="宋体" w:hAnsi="宋体" w:eastAsia="宋体" w:cs="宋体"/>
          <w:sz w:val="21"/>
          <w:szCs w:val="21"/>
          <w:lang w:eastAsia="zh-CN"/>
        </w:rPr>
        <w:t>“</w:t>
      </w:r>
      <w:r>
        <w:rPr>
          <w:rFonts w:hint="eastAsia" w:ascii="宋体" w:hAnsi="宋体" w:eastAsia="宋体" w:cs="宋体"/>
          <w:sz w:val="21"/>
          <w:szCs w:val="21"/>
        </w:rPr>
        <w:t>智能计量</w:t>
      </w:r>
      <w:r>
        <w:rPr>
          <w:rFonts w:hint="eastAsia" w:ascii="宋体" w:hAnsi="宋体" w:eastAsia="宋体" w:cs="宋体"/>
          <w:sz w:val="21"/>
          <w:szCs w:val="21"/>
          <w:lang w:eastAsia="zh-CN"/>
        </w:rPr>
        <w:t>”</w:t>
      </w:r>
      <w:r>
        <w:rPr>
          <w:rFonts w:hint="eastAsia" w:ascii="宋体" w:hAnsi="宋体" w:eastAsia="宋体" w:cs="宋体"/>
          <w:sz w:val="21"/>
          <w:szCs w:val="21"/>
        </w:rPr>
        <w:t>的跨越。</w:t>
      </w:r>
    </w:p>
    <w:p w14:paraId="76FE53FA">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设计框架智能选择引擎</w:t>
      </w:r>
      <w:r>
        <w:rPr>
          <w:rFonts w:hint="eastAsia" w:ascii="宋体" w:hAnsi="宋体" w:eastAsia="宋体" w:cs="宋体"/>
          <w:sz w:val="21"/>
          <w:szCs w:val="21"/>
        </w:rPr>
        <w:t>：支持14种教学法框架（5E、4-Stage、PBL、Design Thinking、SSI、IBL、POE、7E、REACT、LIA、UbD、GRRF、IDM、STREAMING），通过决策树自动匹配最优框架。</w:t>
      </w:r>
    </w:p>
    <w:p w14:paraId="55797331">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构建UDL差异化与形成性评估机制</w:t>
      </w:r>
      <w:r>
        <w:rPr>
          <w:rFonts w:hint="eastAsia" w:ascii="宋体" w:hAnsi="宋体" w:eastAsia="宋体" w:cs="宋体"/>
          <w:sz w:val="21"/>
          <w:szCs w:val="21"/>
        </w:rPr>
        <w:t>：将通用学习设计（UDL）三原则（多元表征/多元表达/多元参与）和形成性评估检查点强制嵌入每个活动阶段，保障教育公平与学习效果。</w:t>
      </w:r>
    </w:p>
    <w:p w14:paraId="2BF213AD">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构建五层幻觉检测与三层纠错机制</w:t>
      </w:r>
      <w:r>
        <w:rPr>
          <w:rFonts w:hint="eastAsia" w:ascii="宋体" w:hAnsi="宋体" w:eastAsia="宋体" w:cs="宋体"/>
          <w:sz w:val="21"/>
          <w:szCs w:val="21"/>
        </w:rPr>
        <w:t>：将学术文献验证方法引入科普内容生成流程，建立科学准确性的多层保障体系。</w:t>
      </w:r>
    </w:p>
    <w:p w14:paraId="47BCB5ED">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设计模板智能提取与九阶段迁移学习机制</w:t>
      </w:r>
      <w:r>
        <w:rPr>
          <w:rFonts w:hint="eastAsia" w:ascii="宋体" w:hAnsi="宋体" w:eastAsia="宋体" w:cs="宋体"/>
          <w:sz w:val="21"/>
          <w:szCs w:val="21"/>
        </w:rPr>
        <w:t>：通过九阶段多维质量分析（含公平性审计、成本效益分析），自动提取结构模板与最佳实践模式，实现创作经验的智能化沉淀。</w:t>
      </w:r>
    </w:p>
    <w:p w14:paraId="2C5AC64C">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探索多模态融合应用场景</w:t>
      </w:r>
      <w:r>
        <w:rPr>
          <w:rFonts w:hint="eastAsia" w:ascii="宋体" w:hAnsi="宋体" w:eastAsia="宋体" w:cs="宋体"/>
          <w:sz w:val="21"/>
          <w:szCs w:val="21"/>
        </w:rPr>
        <w:t>：将LLM与数字人、沉浸式交互、智能天象制作等技术结合，提出具体落地路径。</w:t>
      </w:r>
    </w:p>
    <w:p w14:paraId="6E37F4CC">
      <w:pPr>
        <w:keepNext w:val="0"/>
        <w:keepLines w:val="0"/>
        <w:pageBreakBefore w:val="0"/>
        <w:widowControl/>
        <w:numPr>
          <w:numId w:val="0"/>
        </w:numPr>
        <w:kinsoku/>
        <w:wordWrap/>
        <w:overflowPunct/>
        <w:topLinePunct w:val="0"/>
        <w:autoSpaceDE/>
        <w:autoSpaceDN/>
        <w:bidi w:val="0"/>
        <w:adjustRightInd/>
        <w:snapToGrid/>
        <w:spacing w:before="0" w:after="0" w:line="240" w:lineRule="auto"/>
        <w:ind w:leftChars="0"/>
        <w:jc w:val="left"/>
        <w:textAlignment w:val="baseline"/>
        <w:outlineLvl w:val="9"/>
        <w:rPr>
          <w:rFonts w:hint="eastAsia" w:ascii="宋体" w:hAnsi="宋体" w:eastAsia="宋体" w:cs="宋体"/>
          <w:sz w:val="21"/>
          <w:szCs w:val="21"/>
          <w:lang w:val="en-US" w:eastAsia="zh-CN"/>
        </w:rPr>
      </w:pPr>
    </w:p>
    <w:p w14:paraId="121F3F76">
      <w:pPr>
        <w:pStyle w:val="3"/>
        <w:keepNext w:val="0"/>
        <w:keepLines w:val="0"/>
        <w:pageBreakBefore w:val="0"/>
        <w:widowControl/>
        <w:numPr>
          <w:numId w:val="0"/>
        </w:numPr>
        <w:kinsoku/>
        <w:wordWrap/>
        <w:overflowPunct/>
        <w:topLinePunct w:val="0"/>
        <w:autoSpaceDE/>
        <w:autoSpaceDN/>
        <w:bidi w:val="0"/>
        <w:adjustRightInd/>
        <w:snapToGrid/>
        <w:spacing w:before="0" w:after="0"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lang w:val="en-US" w:eastAsia="zh-CN"/>
        </w:rPr>
        <w:t>二、</w:t>
      </w:r>
      <w:r>
        <w:rPr>
          <w:rFonts w:hint="eastAsia" w:ascii="宋体" w:hAnsi="宋体" w:eastAsia="宋体" w:cs="宋体"/>
          <w:sz w:val="21"/>
          <w:szCs w:val="21"/>
        </w:rPr>
        <w:t>相关工作</w:t>
      </w:r>
    </w:p>
    <w:p w14:paraId="0097F6B9">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一）</w:t>
      </w:r>
      <w:r>
        <w:rPr>
          <w:rFonts w:hint="eastAsia" w:ascii="宋体" w:hAnsi="宋体" w:eastAsia="宋体" w:cs="宋体"/>
          <w:sz w:val="21"/>
          <w:szCs w:val="21"/>
        </w:rPr>
        <w:t>AI赋能科学教育的研究进展</w:t>
      </w:r>
    </w:p>
    <w:p w14:paraId="1287B1EE">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AI在科学教育中的应用可追溯到20世纪80年代的智能导学系统（Intelligent Tutoring Systems, ITS）。进入深度学习时代，研究者开始探索神经网络在科学概念理解、实验设计辅助、学习路径推荐等方面的应用。近年来，LLM 的兴起催生了一批新的研究方向：Wu et al. (2023) 探索了 GPT 在生成科学解释文本方面的能力；Smith &amp; Lee (2024) 研究了 LLM 辅助物理实验设计的可行性。然而，现有研究多聚焦于单一技术点，缺乏面向科普场馆场景的系统性框架。</w:t>
      </w:r>
    </w:p>
    <w:p w14:paraId="0CF865F5">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二）</w:t>
      </w:r>
      <w:r>
        <w:rPr>
          <w:rFonts w:hint="eastAsia" w:ascii="宋体" w:hAnsi="宋体" w:eastAsia="宋体" w:cs="宋体"/>
          <w:sz w:val="21"/>
          <w:szCs w:val="21"/>
        </w:rPr>
        <w:t>科普场馆教育活动设计的理论根基</w:t>
      </w:r>
    </w:p>
    <w:p w14:paraId="513BBCDF">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科学教育活动设计的理论基础涵盖多个维度。在</w:t>
      </w:r>
      <w:r>
        <w:rPr>
          <w:rFonts w:hint="eastAsia" w:ascii="宋体" w:hAnsi="宋体" w:eastAsia="宋体" w:cs="宋体"/>
          <w:b/>
          <w:bCs/>
          <w:sz w:val="21"/>
          <w:szCs w:val="21"/>
        </w:rPr>
        <w:t>教学法框架</w:t>
      </w:r>
      <w:r>
        <w:rPr>
          <w:rFonts w:hint="eastAsia" w:ascii="宋体" w:hAnsi="宋体" w:eastAsia="宋体" w:cs="宋体"/>
          <w:sz w:val="21"/>
          <w:szCs w:val="21"/>
        </w:rPr>
        <w:t>层面，经典模型包括建构主义学习理论（Piaget, Vygotsky）、5E教学模式（Bybee et al.）及其扩展变体（7E模型：5E+Elaborate+Extend）、4-Stage探究模型（Hook→Explore→Explain→Apply）。近年来，项目式学习（PBL）、设计思维（Design Thinking）、社会性科学议题（SSI）等框架在非正式科学教育中获得广泛应用。此外，POE（Predict-Observe-Explain）模型特别适合诊断和纠正学习者前概念；REACT（Relating-Experiencing-Applying-Cooperating-Transferring）模型强调知识的情境迁移；Understanding by Design（UbD）采用反向设计思路，从学习目标倒推活动设计。</w:t>
      </w:r>
    </w:p>
    <w:p w14:paraId="7E194E02">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在</w:t>
      </w:r>
      <w:r>
        <w:rPr>
          <w:rFonts w:hint="eastAsia" w:ascii="宋体" w:hAnsi="宋体" w:eastAsia="宋体" w:cs="宋体"/>
          <w:b/>
          <w:bCs/>
          <w:sz w:val="21"/>
          <w:szCs w:val="21"/>
        </w:rPr>
        <w:t>教育公平</w:t>
      </w:r>
      <w:r>
        <w:rPr>
          <w:rFonts w:hint="eastAsia" w:ascii="宋体" w:hAnsi="宋体" w:eastAsia="宋体" w:cs="宋体"/>
          <w:sz w:val="21"/>
          <w:szCs w:val="21"/>
        </w:rPr>
        <w:t>层面，通用学习设计（Universal Design for Learning, UDL）提出了三大核心原则——多元表征（Multiple Means of Representation）、多元表达（Multiple Means of Action and Expression）与多元参与（Multiple Means of Engagement）——要求活动设计为不同能力、文化背景与学习风格的学习者提供等效的学习机会[Cast &amp; Meyer, 2002]。在</w:t>
      </w:r>
      <w:r>
        <w:rPr>
          <w:rFonts w:hint="eastAsia" w:ascii="宋体" w:hAnsi="宋体" w:eastAsia="宋体" w:cs="宋体"/>
          <w:b/>
          <w:bCs/>
          <w:sz w:val="21"/>
          <w:szCs w:val="21"/>
        </w:rPr>
        <w:t>评估理论</w:t>
      </w:r>
      <w:r>
        <w:rPr>
          <w:rFonts w:hint="eastAsia" w:ascii="宋体" w:hAnsi="宋体" w:eastAsia="宋体" w:cs="宋体"/>
          <w:sz w:val="21"/>
          <w:szCs w:val="21"/>
        </w:rPr>
        <w:t>层面，形成性评估（Formative Assessment）强调评估应嵌入学习过程而非仅在结束后进行，通过检查点（Checkpoint）实时诊断学习状态并提供即时反馈[Wiliam &amp; Black, 1998]，而布鲁姆分类法（Bloom's Taxonomy）则为学习目标的分层设计提供了认知框架。在</w:t>
      </w:r>
      <w:r>
        <w:rPr>
          <w:rFonts w:hint="eastAsia" w:ascii="宋体" w:hAnsi="宋体" w:eastAsia="宋体" w:cs="宋体"/>
          <w:b/>
          <w:bCs/>
          <w:sz w:val="21"/>
          <w:szCs w:val="21"/>
        </w:rPr>
        <w:t>课程标准对齐</w:t>
      </w:r>
      <w:r>
        <w:rPr>
          <w:rFonts w:hint="eastAsia" w:ascii="宋体" w:hAnsi="宋体" w:eastAsia="宋体" w:cs="宋体"/>
          <w:sz w:val="21"/>
          <w:szCs w:val="21"/>
        </w:rPr>
        <w:t>层面，美国NGSS（下一代科学标准）提出了"三维学习"框架，涵盖学科核心概念（Disciplinary Core Ideas, DCIs）、科学与工程实践（Science and Engineering Practices, SEPs）以及跨学科概念（Crosscutting Concepts, CCCs），强调科学教育应从"学习关于科学"转向"像科学家一样思考"（Sensemaking）[NGSS Lead States, 2013]。</w:t>
      </w:r>
    </w:p>
    <w:p w14:paraId="6397BB60">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科技馆教育强调</w:t>
      </w:r>
      <w:r>
        <w:rPr>
          <w:rFonts w:hint="eastAsia" w:ascii="宋体" w:hAnsi="宋体" w:eastAsia="宋体" w:cs="宋体"/>
          <w:sz w:val="21"/>
          <w:szCs w:val="21"/>
          <w:lang w:eastAsia="zh-CN"/>
        </w:rPr>
        <w:t>“</w:t>
      </w:r>
      <w:r>
        <w:rPr>
          <w:rFonts w:hint="eastAsia" w:ascii="宋体" w:hAnsi="宋体" w:eastAsia="宋体" w:cs="宋体"/>
          <w:sz w:val="21"/>
          <w:szCs w:val="21"/>
        </w:rPr>
        <w:t>体验优先</w:t>
      </w:r>
      <w:r>
        <w:rPr>
          <w:rFonts w:hint="eastAsia" w:ascii="宋体" w:hAnsi="宋体" w:eastAsia="宋体" w:cs="宋体"/>
          <w:sz w:val="21"/>
          <w:szCs w:val="21"/>
          <w:lang w:eastAsia="zh-CN"/>
        </w:rPr>
        <w:t>”</w:t>
      </w:r>
      <w:r>
        <w:rPr>
          <w:rFonts w:hint="eastAsia" w:ascii="宋体" w:hAnsi="宋体" w:eastAsia="宋体" w:cs="宋体"/>
          <w:sz w:val="21"/>
          <w:szCs w:val="21"/>
        </w:rPr>
        <w:t>（Experience First），要求活动设计具备</w:t>
      </w:r>
      <w:r>
        <w:rPr>
          <w:rFonts w:hint="eastAsia" w:ascii="宋体" w:hAnsi="宋体" w:eastAsia="宋体" w:cs="宋体"/>
          <w:sz w:val="21"/>
          <w:szCs w:val="21"/>
          <w:lang w:eastAsia="zh-CN"/>
        </w:rPr>
        <w:t>“</w:t>
      </w:r>
      <w:r>
        <w:rPr>
          <w:rFonts w:hint="eastAsia" w:ascii="宋体" w:hAnsi="宋体" w:eastAsia="宋体" w:cs="宋体"/>
          <w:sz w:val="21"/>
          <w:szCs w:val="21"/>
        </w:rPr>
        <w:t>现象引入→动手探究→概念建构→迁移应用</w:t>
      </w:r>
      <w:r>
        <w:rPr>
          <w:rFonts w:hint="eastAsia" w:ascii="宋体" w:hAnsi="宋体" w:eastAsia="宋体" w:cs="宋体"/>
          <w:sz w:val="21"/>
          <w:szCs w:val="21"/>
          <w:lang w:eastAsia="zh-CN"/>
        </w:rPr>
        <w:t>”</w:t>
      </w:r>
      <w:r>
        <w:rPr>
          <w:rFonts w:hint="eastAsia" w:ascii="宋体" w:hAnsi="宋体" w:eastAsia="宋体" w:cs="宋体"/>
          <w:sz w:val="21"/>
          <w:szCs w:val="21"/>
        </w:rPr>
        <w:t>的完整认知链条。这些理论要求AI生成系统不仅要有内容生成能力，更要具备教学设计的</w:t>
      </w:r>
      <w:r>
        <w:rPr>
          <w:rFonts w:hint="eastAsia" w:ascii="宋体" w:hAnsi="宋体" w:eastAsia="宋体" w:cs="宋体"/>
          <w:sz w:val="21"/>
          <w:szCs w:val="21"/>
          <w:lang w:eastAsia="zh-CN"/>
        </w:rPr>
        <w:t>“</w:t>
      </w:r>
      <w:r>
        <w:rPr>
          <w:rFonts w:hint="eastAsia" w:ascii="宋体" w:hAnsi="宋体" w:eastAsia="宋体" w:cs="宋体"/>
          <w:sz w:val="21"/>
          <w:szCs w:val="21"/>
        </w:rPr>
        <w:t>专业直觉</w:t>
      </w:r>
      <w:r>
        <w:rPr>
          <w:rFonts w:hint="eastAsia" w:ascii="宋体" w:hAnsi="宋体" w:eastAsia="宋体" w:cs="宋体"/>
          <w:sz w:val="21"/>
          <w:szCs w:val="21"/>
          <w:lang w:eastAsia="zh-CN"/>
        </w:rPr>
        <w:t>”</w:t>
      </w:r>
      <w:r>
        <w:rPr>
          <w:rFonts w:hint="eastAsia" w:ascii="宋体" w:hAnsi="宋体" w:eastAsia="宋体" w:cs="宋体"/>
          <w:sz w:val="21"/>
          <w:szCs w:val="21"/>
        </w:rPr>
        <w:t>——能够根据主题特性、受众特征、场景约束自动选择最优教学法框架。</w:t>
      </w:r>
    </w:p>
    <w:p w14:paraId="47FE41F0">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三）</w:t>
      </w:r>
      <w:r>
        <w:rPr>
          <w:rFonts w:hint="eastAsia" w:ascii="宋体" w:hAnsi="宋体" w:eastAsia="宋体" w:cs="宋体"/>
          <w:sz w:val="21"/>
          <w:szCs w:val="21"/>
        </w:rPr>
        <w:t>文献计量学在科学教育研究中的应用</w:t>
      </w:r>
    </w:p>
    <w:p w14:paraId="4D034814">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研究脉络梳理不仅依赖传统的文献检索方法，更需要借助文献计量学工具实现大规模、系统化的知识图谱构建。CiteSpace和VOSviewer是当前应用最广泛的科学知识图谱可视化工具，其核心功能包括：共被引网络分析（识别知识基础与研究前沿）、引用爆发检测（Kleinberg算法识别突发增长的研究主题）、关键词共现分析（揭示研究热点与空白）、聚类演化分析（追踪研究方向的变迁路径）[Chen, 2006]。PRISMA（Preferred Reporting Items for Systematic Reviews and Meta-Analyses）系统筛选流程则为文献的纳入/排除提供了标准化方法论，确保研究综述的可重复性与透明性[Page et al., 2021]。将这些方法引入AI驱动的科普内容生成流程，可从根本上提升知识基座的系统性与可靠性。</w:t>
      </w:r>
    </w:p>
    <w:p w14:paraId="08861692">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四）</w:t>
      </w:r>
      <w:r>
        <w:rPr>
          <w:rFonts w:hint="eastAsia" w:ascii="宋体" w:hAnsi="宋体" w:eastAsia="宋体" w:cs="宋体"/>
          <w:sz w:val="21"/>
          <w:szCs w:val="21"/>
        </w:rPr>
        <w:t>研究空白</w:t>
      </w:r>
    </w:p>
    <w:p w14:paraId="025678D9">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综合分析发现，当前研究存在五个关键空白：（1）缺乏将科学文献验证机制与活动内容生成相结合的系统性方法；（2）缺乏将文献计量学方法（CiteSpace/VOSviewer/PRISMA）引入AI知识验证流程的技术路径；（3）缺乏支持多教学法框架智能选择、UDL差异化设计和形成性评估嵌入的AI创作系统；（4）缺乏从案例库中自动提取教育设计模式并迁移至新场景的技术路径；（5）缺乏面向数字展陈、沉浸式体验等新型科普形态、同时保障教育公平性的AI创作框架。AISTEC 旨在填补这些空白。</w:t>
      </w:r>
    </w:p>
    <w:p w14:paraId="20F37760">
      <w:pPr>
        <w:keepNext w:val="0"/>
        <w:keepLines w:val="0"/>
        <w:pageBreakBefore w:val="0"/>
        <w:widowControl/>
        <w:numPr>
          <w:numId w:val="0"/>
        </w:numPr>
        <w:kinsoku/>
        <w:wordWrap/>
        <w:overflowPunct/>
        <w:topLinePunct w:val="0"/>
        <w:autoSpaceDE/>
        <w:autoSpaceDN/>
        <w:bidi w:val="0"/>
        <w:adjustRightInd/>
        <w:snapToGrid/>
        <w:spacing w:before="0" w:after="0" w:line="240" w:lineRule="auto"/>
        <w:ind w:leftChars="0"/>
        <w:jc w:val="left"/>
        <w:textAlignment w:val="baseline"/>
        <w:outlineLvl w:val="9"/>
        <w:rPr>
          <w:rFonts w:hint="eastAsia" w:ascii="宋体" w:hAnsi="宋体" w:eastAsia="宋体" w:cs="宋体"/>
          <w:sz w:val="21"/>
          <w:szCs w:val="21"/>
          <w:lang w:val="en-US" w:eastAsia="zh-CN"/>
        </w:rPr>
      </w:pPr>
    </w:p>
    <w:p w14:paraId="31ECAC94">
      <w:pPr>
        <w:pStyle w:val="3"/>
        <w:keepNext w:val="0"/>
        <w:keepLines w:val="0"/>
        <w:pageBreakBefore w:val="0"/>
        <w:widowControl/>
        <w:numPr>
          <w:numId w:val="0"/>
        </w:numPr>
        <w:kinsoku/>
        <w:wordWrap/>
        <w:overflowPunct/>
        <w:topLinePunct w:val="0"/>
        <w:autoSpaceDE/>
        <w:autoSpaceDN/>
        <w:bidi w:val="0"/>
        <w:adjustRightInd/>
        <w:snapToGrid/>
        <w:spacing w:before="0" w:after="0"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lang w:val="en-US" w:eastAsia="zh-CN"/>
        </w:rPr>
        <w:t>三、</w:t>
      </w:r>
      <w:r>
        <w:rPr>
          <w:rFonts w:hint="eastAsia" w:ascii="宋体" w:hAnsi="宋体" w:eastAsia="宋体" w:cs="宋体"/>
          <w:sz w:val="21"/>
          <w:szCs w:val="21"/>
        </w:rPr>
        <w:t>AISTEC 框架设计</w:t>
      </w:r>
    </w:p>
    <w:p w14:paraId="47FB8934">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一）</w:t>
      </w:r>
      <w:r>
        <w:rPr>
          <w:rFonts w:hint="eastAsia" w:ascii="宋体" w:hAnsi="宋体" w:eastAsia="宋体" w:cs="宋体"/>
          <w:sz w:val="21"/>
          <w:szCs w:val="21"/>
        </w:rPr>
        <w:t>总体架构</w:t>
      </w:r>
    </w:p>
    <w:p w14:paraId="28C3996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AISTEC 采用分层解耦的模块化架构，自下而上分为四个核心层（图1）：</w:t>
      </w:r>
    </w:p>
    <w:p w14:paraId="1A84C6CD">
      <w:pPr>
        <w:pStyle w:val="17"/>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w:t>
      </w:r>
    </w:p>
    <w:p w14:paraId="05A1FB26">
      <w:pPr>
        <w:pStyle w:val="17"/>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场景适配层 (Scenario Adaptation)            │</w:t>
      </w:r>
    </w:p>
    <w:p w14:paraId="43D0C27F">
      <w:pPr>
        <w:pStyle w:val="17"/>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展厅动线设计 │ 数字人交互 │ 沉浸式体验 │ 智能天象 │ 家庭模式  │</w:t>
      </w:r>
    </w:p>
    <w:p w14:paraId="09B3DFBE">
      <w:pPr>
        <w:pStyle w:val="17"/>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w:t>
      </w:r>
    </w:p>
    <w:p w14:paraId="3A5629DF">
      <w:pPr>
        <w:pStyle w:val="17"/>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质量保障层 (Quality Assurance)              │</w:t>
      </w:r>
    </w:p>
    <w:p w14:paraId="12E9D831">
      <w:pPr>
        <w:pStyle w:val="17"/>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五层幻觉检测 │ 三层纠错机制 │ 公平性审计 │ 成本效益分析    │</w:t>
      </w:r>
    </w:p>
    <w:p w14:paraId="3AB040F0">
      <w:pPr>
        <w:pStyle w:val="17"/>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w:t>
      </w:r>
    </w:p>
    <w:p w14:paraId="226E78DD">
      <w:pPr>
        <w:pStyle w:val="17"/>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内容生成层 (Content Generation)             │</w:t>
      </w:r>
    </w:p>
    <w:p w14:paraId="3C922319">
      <w:pPr>
        <w:pStyle w:val="17"/>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框架选择引擎 │ 知识解构引擎 │ UDL差异化 │ 形成性评估嵌入  │</w:t>
      </w:r>
    </w:p>
    <w:p w14:paraId="7A918384">
      <w:pPr>
        <w:pStyle w:val="17"/>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w:t>
      </w:r>
    </w:p>
    <w:p w14:paraId="427BDBA8">
      <w:pPr>
        <w:pStyle w:val="17"/>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知识验证层 (Knowledge Verification)         │</w:t>
      </w:r>
    </w:p>
    <w:p w14:paraId="37A003BF">
      <w:pPr>
        <w:pStyle w:val="17"/>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文献计量分析 │ 研究脉络梳理 │ 文献交叉验证 │ 溯源标注       │</w:t>
      </w:r>
    </w:p>
    <w:p w14:paraId="7A1149EC">
      <w:pPr>
        <w:pStyle w:val="17"/>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w:t>
      </w:r>
    </w:p>
    <w:p w14:paraId="66342812">
      <w:pPr>
        <w:keepNext w:val="0"/>
        <w:keepLines w:val="0"/>
        <w:pageBreakBefore w:val="0"/>
        <w:widowControl/>
        <w:kinsoku/>
        <w:wordWrap/>
        <w:overflowPunct/>
        <w:topLinePunct w:val="0"/>
        <w:autoSpaceDE/>
        <w:autoSpaceDN/>
        <w:bidi w:val="0"/>
        <w:adjustRightInd/>
        <w:snapToGrid/>
        <w:spacing w:line="240" w:lineRule="auto"/>
        <w:jc w:val="center"/>
        <w:textAlignment w:val="baseline"/>
        <w:rPr>
          <w:rFonts w:hint="eastAsia" w:ascii="宋体" w:hAnsi="宋体" w:eastAsia="宋体" w:cs="宋体"/>
          <w:sz w:val="21"/>
          <w:szCs w:val="21"/>
        </w:rPr>
      </w:pPr>
      <w:r>
        <w:rPr>
          <w:rFonts w:hint="eastAsia" w:ascii="宋体" w:hAnsi="宋体" w:eastAsia="宋体" w:cs="宋体"/>
          <w:b/>
          <w:bCs/>
          <w:sz w:val="21"/>
          <w:szCs w:val="21"/>
        </w:rPr>
        <w:t>图1 AISTEC 四层架构</w:t>
      </w:r>
    </w:p>
    <w:p w14:paraId="60FFEB10">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lang w:eastAsia="zh-CN"/>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二）</w:t>
      </w:r>
      <w:r>
        <w:rPr>
          <w:rFonts w:hint="eastAsia" w:ascii="宋体" w:hAnsi="宋体" w:eastAsia="宋体" w:cs="宋体"/>
          <w:sz w:val="21"/>
          <w:szCs w:val="21"/>
        </w:rPr>
        <w:t>知识验证层：从</w:t>
      </w:r>
      <w:r>
        <w:rPr>
          <w:rFonts w:hint="eastAsia" w:ascii="宋体" w:hAnsi="宋体" w:eastAsia="宋体" w:cs="宋体"/>
          <w:sz w:val="21"/>
          <w:szCs w:val="21"/>
          <w:lang w:eastAsia="zh-CN"/>
        </w:rPr>
        <w:t>“</w:t>
      </w:r>
      <w:r>
        <w:rPr>
          <w:rFonts w:hint="eastAsia" w:ascii="宋体" w:hAnsi="宋体" w:eastAsia="宋体" w:cs="宋体"/>
          <w:sz w:val="21"/>
          <w:szCs w:val="21"/>
        </w:rPr>
        <w:t>生成即</w:t>
      </w:r>
      <w:r>
        <w:rPr>
          <w:rFonts w:hint="eastAsia" w:ascii="宋体" w:hAnsi="宋体" w:eastAsia="宋体" w:cs="宋体"/>
          <w:sz w:val="21"/>
          <w:szCs w:val="21"/>
          <w:lang w:val="en-US" w:eastAsia="zh-CN"/>
        </w:rPr>
        <w:t>信</w:t>
      </w:r>
      <w:r>
        <w:rPr>
          <w:rFonts w:hint="eastAsia" w:ascii="宋体" w:hAnsi="宋体" w:eastAsia="宋体" w:cs="宋体"/>
          <w:sz w:val="21"/>
          <w:szCs w:val="21"/>
          <w:lang w:eastAsia="zh-CN"/>
        </w:rPr>
        <w:t>”</w:t>
      </w:r>
      <w:r>
        <w:rPr>
          <w:rFonts w:hint="eastAsia" w:ascii="宋体" w:hAnsi="宋体" w:eastAsia="宋体" w:cs="宋体"/>
          <w:sz w:val="21"/>
          <w:szCs w:val="21"/>
        </w:rPr>
        <w:t>到</w:t>
      </w:r>
      <w:r>
        <w:rPr>
          <w:rFonts w:hint="eastAsia" w:ascii="宋体" w:hAnsi="宋体" w:eastAsia="宋体" w:cs="宋体"/>
          <w:sz w:val="21"/>
          <w:szCs w:val="21"/>
          <w:lang w:eastAsia="zh-CN"/>
        </w:rPr>
        <w:t>“</w:t>
      </w:r>
      <w:r>
        <w:rPr>
          <w:rFonts w:hint="eastAsia" w:ascii="宋体" w:hAnsi="宋体" w:eastAsia="宋体" w:cs="宋体"/>
          <w:sz w:val="21"/>
          <w:szCs w:val="21"/>
        </w:rPr>
        <w:t>验证后信</w:t>
      </w:r>
      <w:r>
        <w:rPr>
          <w:rFonts w:hint="eastAsia" w:ascii="宋体" w:hAnsi="宋体" w:eastAsia="宋体" w:cs="宋体"/>
          <w:sz w:val="21"/>
          <w:szCs w:val="21"/>
          <w:lang w:eastAsia="zh-CN"/>
        </w:rPr>
        <w:t>”</w:t>
      </w:r>
    </w:p>
    <w:p w14:paraId="55038FB1">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知识验证层是 AISTEC 的根基，其核心目标是在内容生成前建立经过验证的知识基座，从根本上降低幻觉风险。该层融合了研究脉络梳理（Research Lineage）的验证方法论，并创新性地引入了文献计量学分析引擎，构建了</w:t>
      </w:r>
      <w:r>
        <w:rPr>
          <w:rFonts w:hint="eastAsia" w:ascii="宋体" w:hAnsi="宋体" w:eastAsia="宋体" w:cs="宋体"/>
          <w:sz w:val="21"/>
          <w:szCs w:val="21"/>
          <w:lang w:eastAsia="zh-CN"/>
        </w:rPr>
        <w:t>“</w:t>
      </w:r>
      <w:r>
        <w:rPr>
          <w:rFonts w:hint="eastAsia" w:ascii="宋体" w:hAnsi="宋体" w:eastAsia="宋体" w:cs="宋体"/>
          <w:sz w:val="21"/>
          <w:szCs w:val="21"/>
        </w:rPr>
        <w:t>计量分析→语义检索→交叉核对→深度验证→时间线校验</w:t>
      </w:r>
      <w:r>
        <w:rPr>
          <w:rFonts w:hint="eastAsia" w:ascii="宋体" w:hAnsi="宋体" w:eastAsia="宋体" w:cs="宋体"/>
          <w:sz w:val="21"/>
          <w:szCs w:val="21"/>
          <w:lang w:eastAsia="zh-CN"/>
        </w:rPr>
        <w:t>”</w:t>
      </w:r>
      <w:r>
        <w:rPr>
          <w:rFonts w:hint="eastAsia" w:ascii="宋体" w:hAnsi="宋体" w:eastAsia="宋体" w:cs="宋体"/>
          <w:sz w:val="21"/>
          <w:szCs w:val="21"/>
        </w:rPr>
        <w:t>五步验证流水线。在步骤A（文献计量快速定位）中，系统利用CiteSpace/VOSviewer风格的知识图谱分析对候选文献进行共被引网络聚类（要求Modularity Q &gt; 0.3, Silhouette S &gt; 0.7）、引用爆发检测（Kleinberg算法识别突发强度δ &gt; 3.0的论文）以及关键词共现分析，从而快速定位知识基础（Intellectual Base）与研究前沿（Research Front）。步骤B（语义检索快速筛查）通过 Semantic Scholar API、arXiv API、Crossref API 对候选文献进行批量查询，以毫秒级速度完成初筛。步骤C（书目细节交叉核对）对通过初筛的文献逐项核对作者、标题、年份、期刊/会议名的一致性，验证DOI可解析性，并比对页码/卷号与出版记录。步骤D（WebSearch逐条深度验证）在学术API不可用时启动多关键词组合搜索（作者+标题+年份、标题+DOI、作者+期刊+年份），至少执行3轮独立搜索，无明确结果则标记为NOT_FOUND。步骤E（时间线一致性验证）检查论文引用时序（被引用论文是否早于引用论文）与技术发展时序（技术出现时间是否早于应用落地时间），发现悖论则标记[时间线待核实]。在上述五步验证的基础上，AISTEC进一步设计了PRISMA式系统筛选流程，强制记录每一篇文献的纳入/排除决策，确保筛选过程的可追溯性与可重复性。</w:t>
      </w:r>
    </w:p>
    <w:tbl>
      <w:tblPr>
        <w:tblStyle w:val="9"/>
        <w:tblW w:w="1056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3520"/>
        <w:gridCol w:w="3520"/>
        <w:gridCol w:w="3520"/>
      </w:tblGrid>
      <w:tr w14:paraId="6254AB6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04E488D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筛选阶段</w:t>
            </w:r>
          </w:p>
        </w:tc>
        <w:tc>
          <w:tcPr>
            <w:tcW w:w="3520" w:type="dxa"/>
            <w:vAlign w:val="top"/>
          </w:tcPr>
          <w:p w14:paraId="31D85FA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操作</w:t>
            </w:r>
          </w:p>
        </w:tc>
        <w:tc>
          <w:tcPr>
            <w:tcW w:w="3520" w:type="dxa"/>
            <w:vAlign w:val="top"/>
          </w:tcPr>
          <w:p w14:paraId="685C283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记录内容</w:t>
            </w:r>
          </w:p>
        </w:tc>
      </w:tr>
      <w:tr w14:paraId="6D21481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749D0BA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初筛</w:t>
            </w:r>
          </w:p>
        </w:tc>
        <w:tc>
          <w:tcPr>
            <w:tcW w:w="3520" w:type="dxa"/>
            <w:vAlign w:val="top"/>
          </w:tcPr>
          <w:p w14:paraId="53B95B3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计量分析去重 + 标题/摘要筛查</w:t>
            </w:r>
          </w:p>
        </w:tc>
        <w:tc>
          <w:tcPr>
            <w:tcW w:w="3520" w:type="dxa"/>
            <w:vAlign w:val="top"/>
          </w:tcPr>
          <w:p w14:paraId="1211072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排除原因（不相关/非学术/无法获取）</w:t>
            </w:r>
          </w:p>
        </w:tc>
      </w:tr>
      <w:tr w14:paraId="3EA05AB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23CB8F0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精筛</w:t>
            </w:r>
          </w:p>
        </w:tc>
        <w:tc>
          <w:tcPr>
            <w:tcW w:w="3520" w:type="dxa"/>
            <w:vAlign w:val="top"/>
          </w:tcPr>
          <w:p w14:paraId="0DE9B46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全文阅读 + 质量评估</w:t>
            </w:r>
          </w:p>
        </w:tc>
        <w:tc>
          <w:tcPr>
            <w:tcW w:w="3520" w:type="dxa"/>
            <w:vAlign w:val="top"/>
          </w:tcPr>
          <w:p w14:paraId="3AA4FE0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排除原因（方法缺陷/样本不足/结论不可靠）</w:t>
            </w:r>
          </w:p>
        </w:tc>
      </w:tr>
      <w:tr w14:paraId="4566257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07A626D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纳入</w:t>
            </w:r>
          </w:p>
        </w:tc>
        <w:tc>
          <w:tcPr>
            <w:tcW w:w="3520" w:type="dxa"/>
            <w:vAlign w:val="top"/>
          </w:tcPr>
          <w:p w14:paraId="377A9D1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最终纳入知识基座</w:t>
            </w:r>
          </w:p>
        </w:tc>
        <w:tc>
          <w:tcPr>
            <w:tcW w:w="3520" w:type="dxa"/>
            <w:vAlign w:val="top"/>
          </w:tcPr>
          <w:p w14:paraId="41F64D4D">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验证状态、可信度等级</w:t>
            </w:r>
          </w:p>
        </w:tc>
      </w:tr>
    </w:tbl>
    <w:p w14:paraId="266B4873">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同时，AISTEC 设计了</w:t>
      </w:r>
      <w:r>
        <w:rPr>
          <w:rFonts w:hint="eastAsia" w:ascii="宋体" w:hAnsi="宋体" w:eastAsia="宋体" w:cs="宋体"/>
          <w:b/>
          <w:bCs/>
          <w:sz w:val="21"/>
          <w:szCs w:val="21"/>
        </w:rPr>
        <w:t>五类幻觉检测清单</w:t>
      </w:r>
      <w:r>
        <w:rPr>
          <w:rFonts w:hint="eastAsia" w:ascii="宋体" w:hAnsi="宋体" w:eastAsia="宋体" w:cs="宋体"/>
          <w:sz w:val="21"/>
          <w:szCs w:val="21"/>
        </w:rPr>
        <w:t>，强制扫描每一条进入生成流程的文献：</w:t>
      </w:r>
    </w:p>
    <w:tbl>
      <w:tblPr>
        <w:tblStyle w:val="9"/>
        <w:tblW w:w="1038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595"/>
        <w:gridCol w:w="2595"/>
        <w:gridCol w:w="2595"/>
        <w:gridCol w:w="2595"/>
      </w:tblGrid>
      <w:tr w14:paraId="4C7CC72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50EECC5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类型</w:t>
            </w:r>
          </w:p>
        </w:tc>
        <w:tc>
          <w:tcPr>
            <w:tcW w:w="2595" w:type="dxa"/>
            <w:vAlign w:val="top"/>
          </w:tcPr>
          <w:p w14:paraId="37F580A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代码</w:t>
            </w:r>
          </w:p>
        </w:tc>
        <w:tc>
          <w:tcPr>
            <w:tcW w:w="2595" w:type="dxa"/>
            <w:vAlign w:val="top"/>
          </w:tcPr>
          <w:p w14:paraId="438D54D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检测策略</w:t>
            </w:r>
          </w:p>
        </w:tc>
        <w:tc>
          <w:tcPr>
            <w:tcW w:w="2595" w:type="dxa"/>
            <w:vAlign w:val="top"/>
          </w:tcPr>
          <w:p w14:paraId="17D0902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处理方式</w:t>
            </w:r>
          </w:p>
        </w:tc>
      </w:tr>
      <w:tr w14:paraId="5CC5798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7530F49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完全伪造（TF）</w:t>
            </w:r>
          </w:p>
        </w:tc>
        <w:tc>
          <w:tcPr>
            <w:tcW w:w="2595" w:type="dxa"/>
            <w:vAlign w:val="top"/>
          </w:tcPr>
          <w:p w14:paraId="3F1982A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整篇论文或事件不存在</w:t>
            </w:r>
          </w:p>
        </w:tc>
        <w:tc>
          <w:tcPr>
            <w:tcW w:w="2595" w:type="dxa"/>
            <w:vAlign w:val="top"/>
          </w:tcPr>
          <w:p w14:paraId="4A90660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WebSearch 标题+作者，无结果</w:t>
            </w:r>
          </w:p>
        </w:tc>
        <w:tc>
          <w:tcPr>
            <w:tcW w:w="2595" w:type="dxa"/>
            <w:vAlign w:val="top"/>
          </w:tcPr>
          <w:p w14:paraId="2A01BE9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删除并告警</w:t>
            </w:r>
          </w:p>
        </w:tc>
      </w:tr>
      <w:tr w14:paraId="24DDC9D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65CBF75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真实作者伪作（PAC）</w:t>
            </w:r>
          </w:p>
        </w:tc>
        <w:tc>
          <w:tcPr>
            <w:tcW w:w="2595" w:type="dxa"/>
            <w:vAlign w:val="top"/>
          </w:tcPr>
          <w:p w14:paraId="3BF6453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真实学者被安上不存在的论文</w:t>
            </w:r>
          </w:p>
        </w:tc>
        <w:tc>
          <w:tcPr>
            <w:tcW w:w="2595" w:type="dxa"/>
            <w:vAlign w:val="top"/>
          </w:tcPr>
          <w:p w14:paraId="6399BC2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Google Scholar核对作者发表列表</w:t>
            </w:r>
          </w:p>
        </w:tc>
        <w:tc>
          <w:tcPr>
            <w:tcW w:w="2595" w:type="dxa"/>
            <w:vAlign w:val="top"/>
          </w:tcPr>
          <w:p w14:paraId="56B35AFD">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删除并告警</w:t>
            </w:r>
          </w:p>
        </w:tc>
      </w:tr>
      <w:tr w14:paraId="06F0BCD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701BC5A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信息不全（IH）</w:t>
            </w:r>
          </w:p>
        </w:tc>
        <w:tc>
          <w:tcPr>
            <w:tcW w:w="2595" w:type="dxa"/>
            <w:vAlign w:val="top"/>
          </w:tcPr>
          <w:p w14:paraId="5246A19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缺少DOI、卷号、页码</w:t>
            </w:r>
          </w:p>
        </w:tc>
        <w:tc>
          <w:tcPr>
            <w:tcW w:w="2595" w:type="dxa"/>
            <w:vAlign w:val="top"/>
          </w:tcPr>
          <w:p w14:paraId="6A5AC3ED">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标记[待验证]，追加搜索</w:t>
            </w:r>
          </w:p>
        </w:tc>
        <w:tc>
          <w:tcPr>
            <w:tcW w:w="2595" w:type="dxa"/>
            <w:vAlign w:val="top"/>
          </w:tcPr>
          <w:p w14:paraId="06DBBE0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补全或降级</w:t>
            </w:r>
          </w:p>
        </w:tc>
      </w:tr>
      <w:tr w14:paraId="13799E9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141EFF5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拼接伪造（PH）</w:t>
            </w:r>
          </w:p>
        </w:tc>
        <w:tc>
          <w:tcPr>
            <w:tcW w:w="2595" w:type="dxa"/>
            <w:vAlign w:val="top"/>
          </w:tcPr>
          <w:p w14:paraId="34941E1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从多篇文献拼接出假引用</w:t>
            </w:r>
          </w:p>
        </w:tc>
        <w:tc>
          <w:tcPr>
            <w:tcW w:w="2595" w:type="dxa"/>
            <w:vAlign w:val="top"/>
          </w:tcPr>
          <w:p w14:paraId="3FAA922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标题/作者/期刊/年份全部匹配同一来源</w:t>
            </w:r>
          </w:p>
        </w:tc>
        <w:tc>
          <w:tcPr>
            <w:tcW w:w="2595" w:type="dxa"/>
            <w:vAlign w:val="top"/>
          </w:tcPr>
          <w:p w14:paraId="2D19D8D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删除并告警</w:t>
            </w:r>
          </w:p>
        </w:tc>
      </w:tr>
      <w:tr w14:paraId="2E0998A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58022E0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微妙扭曲（SH）</w:t>
            </w:r>
          </w:p>
        </w:tc>
        <w:tc>
          <w:tcPr>
            <w:tcW w:w="2595" w:type="dxa"/>
            <w:vAlign w:val="top"/>
          </w:tcPr>
          <w:p w14:paraId="2655B37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年份、作者缩写轻微错误</w:t>
            </w:r>
          </w:p>
        </w:tc>
        <w:tc>
          <w:tcPr>
            <w:tcW w:w="2595" w:type="dxa"/>
            <w:vAlign w:val="top"/>
          </w:tcPr>
          <w:p w14:paraId="2BB03DB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逐字段对比出版页面</w:t>
            </w:r>
          </w:p>
        </w:tc>
        <w:tc>
          <w:tcPr>
            <w:tcW w:w="2595" w:type="dxa"/>
            <w:vAlign w:val="top"/>
          </w:tcPr>
          <w:p w14:paraId="0D622F2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修正或标注</w:t>
            </w:r>
          </w:p>
        </w:tc>
      </w:tr>
    </w:tbl>
    <w:p w14:paraId="4D787A4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溯源标注规范</w:t>
      </w:r>
      <w:r>
        <w:rPr>
          <w:rFonts w:hint="eastAsia" w:ascii="宋体" w:hAnsi="宋体" w:eastAsia="宋体" w:cs="宋体"/>
          <w:sz w:val="21"/>
          <w:szCs w:val="21"/>
        </w:rPr>
        <w:t>是知识验证层的另一项创新。所有经过验证的信息在输出中标注可信度等级：无标注（已验证）、[待验证]（信息来源有限）、[争议]（多源矛盾）、[推测]（基于现有信息的合理推断）。这一机制使得AI生成的内容首次具备了"可审计性"，为科普教育场景的可信度要求提供了技术保障。</w:t>
      </w:r>
    </w:p>
    <w:p w14:paraId="7FE762CA">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lang w:eastAsia="zh-CN"/>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三）</w:t>
      </w:r>
      <w:r>
        <w:rPr>
          <w:rFonts w:hint="eastAsia" w:ascii="宋体" w:hAnsi="宋体" w:eastAsia="宋体" w:cs="宋体"/>
          <w:sz w:val="21"/>
          <w:szCs w:val="21"/>
        </w:rPr>
        <w:t>内容生成层：从</w:t>
      </w:r>
      <w:r>
        <w:rPr>
          <w:rFonts w:hint="eastAsia" w:ascii="宋体" w:hAnsi="宋体" w:eastAsia="宋体" w:cs="宋体"/>
          <w:sz w:val="21"/>
          <w:szCs w:val="21"/>
          <w:lang w:eastAsia="zh-CN"/>
        </w:rPr>
        <w:t>“</w:t>
      </w:r>
      <w:r>
        <w:rPr>
          <w:rFonts w:hint="eastAsia" w:ascii="宋体" w:hAnsi="宋体" w:eastAsia="宋体" w:cs="宋体"/>
          <w:sz w:val="21"/>
          <w:szCs w:val="21"/>
        </w:rPr>
        <w:t>通用生成</w:t>
      </w:r>
      <w:r>
        <w:rPr>
          <w:rFonts w:hint="eastAsia" w:ascii="宋体" w:hAnsi="宋体" w:eastAsia="宋体" w:cs="宋体"/>
          <w:sz w:val="21"/>
          <w:szCs w:val="21"/>
          <w:lang w:eastAsia="zh-CN"/>
        </w:rPr>
        <w:t>”</w:t>
      </w:r>
      <w:r>
        <w:rPr>
          <w:rFonts w:hint="eastAsia" w:ascii="宋体" w:hAnsi="宋体" w:eastAsia="宋体" w:cs="宋体"/>
          <w:sz w:val="21"/>
          <w:szCs w:val="21"/>
        </w:rPr>
        <w:t>到</w:t>
      </w:r>
      <w:r>
        <w:rPr>
          <w:rFonts w:hint="eastAsia" w:ascii="宋体" w:hAnsi="宋体" w:eastAsia="宋体" w:cs="宋体"/>
          <w:sz w:val="21"/>
          <w:szCs w:val="21"/>
          <w:lang w:eastAsia="zh-CN"/>
        </w:rPr>
        <w:t>“</w:t>
      </w:r>
      <w:r>
        <w:rPr>
          <w:rFonts w:hint="eastAsia" w:ascii="宋体" w:hAnsi="宋体" w:eastAsia="宋体" w:cs="宋体"/>
          <w:sz w:val="21"/>
          <w:szCs w:val="21"/>
        </w:rPr>
        <w:t>教育专用</w:t>
      </w:r>
      <w:r>
        <w:rPr>
          <w:rFonts w:hint="eastAsia" w:ascii="宋体" w:hAnsi="宋体" w:eastAsia="宋体" w:cs="宋体"/>
          <w:sz w:val="21"/>
          <w:szCs w:val="21"/>
          <w:lang w:eastAsia="zh-CN"/>
        </w:rPr>
        <w:t>”</w:t>
      </w:r>
    </w:p>
    <w:p w14:paraId="43FE62DB">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内容生成层是 AISTEC 的核心引擎，其创新在于将科学教育领域的 pedagogical knowledge（教学法知识）编码为AI可理解的结构化约束。与通用LLM的"直接生成"不同，AISTEC 采用</w:t>
      </w:r>
      <w:r>
        <w:rPr>
          <w:rFonts w:hint="eastAsia" w:ascii="宋体" w:hAnsi="宋体" w:eastAsia="宋体" w:cs="宋体"/>
          <w:sz w:val="21"/>
          <w:szCs w:val="21"/>
          <w:lang w:eastAsia="zh-CN"/>
        </w:rPr>
        <w:t>“</w:t>
      </w:r>
      <w:r>
        <w:rPr>
          <w:rFonts w:hint="eastAsia" w:ascii="宋体" w:hAnsi="宋体" w:eastAsia="宋体" w:cs="宋体"/>
          <w:sz w:val="21"/>
          <w:szCs w:val="21"/>
        </w:rPr>
        <w:t>框架选择→知识解构→差异化设计→评估嵌入</w:t>
      </w:r>
      <w:r>
        <w:rPr>
          <w:rFonts w:hint="eastAsia" w:ascii="宋体" w:hAnsi="宋体" w:eastAsia="宋体" w:cs="宋体"/>
          <w:sz w:val="21"/>
          <w:szCs w:val="21"/>
          <w:lang w:eastAsia="zh-CN"/>
        </w:rPr>
        <w:t>”</w:t>
      </w:r>
      <w:r>
        <w:rPr>
          <w:rFonts w:hint="eastAsia" w:ascii="宋体" w:hAnsi="宋体" w:eastAsia="宋体" w:cs="宋体"/>
          <w:sz w:val="21"/>
          <w:szCs w:val="21"/>
        </w:rPr>
        <w:t>四步生成范式，强制AI先确定</w:t>
      </w:r>
      <w:r>
        <w:rPr>
          <w:rFonts w:hint="eastAsia" w:ascii="宋体" w:hAnsi="宋体" w:eastAsia="宋体" w:cs="宋体"/>
          <w:sz w:val="21"/>
          <w:szCs w:val="21"/>
          <w:lang w:eastAsia="zh-CN"/>
        </w:rPr>
        <w:t>“</w:t>
      </w:r>
      <w:r>
        <w:rPr>
          <w:rFonts w:hint="eastAsia" w:ascii="宋体" w:hAnsi="宋体" w:eastAsia="宋体" w:cs="宋体"/>
          <w:sz w:val="21"/>
          <w:szCs w:val="21"/>
        </w:rPr>
        <w:t>用什么框架教</w:t>
      </w:r>
      <w:r>
        <w:rPr>
          <w:rFonts w:hint="eastAsia" w:ascii="宋体" w:hAnsi="宋体" w:eastAsia="宋体" w:cs="宋体"/>
          <w:sz w:val="21"/>
          <w:szCs w:val="21"/>
          <w:lang w:eastAsia="zh-CN"/>
        </w:rPr>
        <w:t>”</w:t>
      </w:r>
      <w:r>
        <w:rPr>
          <w:rFonts w:hint="eastAsia" w:ascii="宋体" w:hAnsi="宋体" w:eastAsia="宋体" w:cs="宋体"/>
          <w:sz w:val="21"/>
          <w:szCs w:val="21"/>
        </w:rPr>
        <w:t>和</w:t>
      </w:r>
      <w:r>
        <w:rPr>
          <w:rFonts w:hint="eastAsia" w:ascii="宋体" w:hAnsi="宋体" w:eastAsia="宋体" w:cs="宋体"/>
          <w:sz w:val="21"/>
          <w:szCs w:val="21"/>
          <w:lang w:eastAsia="zh-CN"/>
        </w:rPr>
        <w:t>“</w:t>
      </w:r>
      <w:r>
        <w:rPr>
          <w:rFonts w:hint="eastAsia" w:ascii="宋体" w:hAnsi="宋体" w:eastAsia="宋体" w:cs="宋体"/>
          <w:sz w:val="21"/>
          <w:szCs w:val="21"/>
        </w:rPr>
        <w:t>教什么</w:t>
      </w:r>
      <w:r>
        <w:rPr>
          <w:rFonts w:hint="eastAsia" w:ascii="宋体" w:hAnsi="宋体" w:eastAsia="宋体" w:cs="宋体"/>
          <w:sz w:val="21"/>
          <w:szCs w:val="21"/>
          <w:lang w:eastAsia="zh-CN"/>
        </w:rPr>
        <w:t>”</w:t>
      </w:r>
      <w:r>
        <w:rPr>
          <w:rFonts w:hint="eastAsia" w:ascii="宋体" w:hAnsi="宋体" w:eastAsia="宋体" w:cs="宋体"/>
          <w:sz w:val="21"/>
          <w:szCs w:val="21"/>
        </w:rPr>
        <w:t>，再决定</w:t>
      </w:r>
      <w:r>
        <w:rPr>
          <w:rFonts w:hint="eastAsia" w:ascii="宋体" w:hAnsi="宋体" w:eastAsia="宋体" w:cs="宋体"/>
          <w:sz w:val="21"/>
          <w:szCs w:val="21"/>
          <w:lang w:eastAsia="zh-CN"/>
        </w:rPr>
        <w:t>“</w:t>
      </w:r>
      <w:r>
        <w:rPr>
          <w:rFonts w:hint="eastAsia" w:ascii="宋体" w:hAnsi="宋体" w:eastAsia="宋体" w:cs="宋体"/>
          <w:sz w:val="21"/>
          <w:szCs w:val="21"/>
        </w:rPr>
        <w:t>怎么教</w:t>
      </w:r>
      <w:r>
        <w:rPr>
          <w:rFonts w:hint="eastAsia" w:ascii="宋体" w:hAnsi="宋体" w:eastAsia="宋体" w:cs="宋体"/>
          <w:sz w:val="21"/>
          <w:szCs w:val="21"/>
          <w:lang w:eastAsia="zh-CN"/>
        </w:rPr>
        <w:t>”</w:t>
      </w:r>
      <w:r>
        <w:rPr>
          <w:rFonts w:hint="eastAsia" w:ascii="宋体" w:hAnsi="宋体" w:eastAsia="宋体" w:cs="宋体"/>
          <w:sz w:val="21"/>
          <w:szCs w:val="21"/>
        </w:rPr>
        <w:t>和</w:t>
      </w:r>
      <w:r>
        <w:rPr>
          <w:rFonts w:hint="eastAsia" w:ascii="宋体" w:hAnsi="宋体" w:eastAsia="宋体" w:cs="宋体"/>
          <w:sz w:val="21"/>
          <w:szCs w:val="21"/>
          <w:lang w:eastAsia="zh-CN"/>
        </w:rPr>
        <w:t>“</w:t>
      </w:r>
      <w:r>
        <w:rPr>
          <w:rFonts w:hint="eastAsia" w:ascii="宋体" w:hAnsi="宋体" w:eastAsia="宋体" w:cs="宋体"/>
          <w:sz w:val="21"/>
          <w:szCs w:val="21"/>
        </w:rPr>
        <w:t>如何评估</w:t>
      </w:r>
      <w:r>
        <w:rPr>
          <w:rFonts w:hint="eastAsia" w:ascii="宋体" w:hAnsi="宋体" w:eastAsia="宋体" w:cs="宋体"/>
          <w:sz w:val="21"/>
          <w:szCs w:val="21"/>
          <w:lang w:eastAsia="zh-CN"/>
        </w:rPr>
        <w:t>”</w:t>
      </w:r>
      <w:r>
        <w:rPr>
          <w:rFonts w:hint="eastAsia" w:ascii="宋体" w:hAnsi="宋体" w:eastAsia="宋体" w:cs="宋体"/>
          <w:sz w:val="21"/>
          <w:szCs w:val="21"/>
        </w:rPr>
        <w:t>。</w:t>
      </w:r>
    </w:p>
    <w:p w14:paraId="37DF9937">
      <w:pPr>
        <w:pStyle w:val="5"/>
        <w:keepNext w:val="0"/>
        <w:keepLines w:val="0"/>
        <w:pageBreakBefore w:val="0"/>
        <w:widowControl/>
        <w:numPr>
          <w:ilvl w:val="0"/>
          <w:numId w:val="3"/>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框架智能选择引擎</w:t>
      </w:r>
    </w:p>
    <w:p w14:paraId="4FDF2538">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 xml:space="preserve">AISTEC 支持 </w:t>
      </w:r>
      <w:r>
        <w:rPr>
          <w:rFonts w:hint="eastAsia" w:ascii="宋体" w:hAnsi="宋体" w:eastAsia="宋体" w:cs="宋体"/>
          <w:b/>
          <w:bCs/>
          <w:sz w:val="21"/>
          <w:szCs w:val="21"/>
        </w:rPr>
        <w:t>14种教学法框架</w:t>
      </w:r>
      <w:r>
        <w:rPr>
          <w:rFonts w:hint="eastAsia" w:ascii="宋体" w:hAnsi="宋体" w:eastAsia="宋体" w:cs="宋体"/>
          <w:sz w:val="21"/>
          <w:szCs w:val="21"/>
        </w:rPr>
        <w:t>，通过决策树自动匹配最优框架：</w:t>
      </w:r>
    </w:p>
    <w:tbl>
      <w:tblPr>
        <w:tblStyle w:val="9"/>
        <w:tblW w:w="1038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187"/>
        <w:gridCol w:w="3819"/>
        <w:gridCol w:w="2187"/>
        <w:gridCol w:w="2187"/>
      </w:tblGrid>
      <w:tr w14:paraId="3EEC228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87" w:type="dxa"/>
            <w:vAlign w:val="top"/>
          </w:tcPr>
          <w:p w14:paraId="048FAA9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框架</w:t>
            </w:r>
          </w:p>
        </w:tc>
        <w:tc>
          <w:tcPr>
            <w:tcW w:w="3819" w:type="dxa"/>
            <w:vAlign w:val="top"/>
          </w:tcPr>
          <w:p w14:paraId="70D5EB9E">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核心流程</w:t>
            </w:r>
          </w:p>
        </w:tc>
        <w:tc>
          <w:tcPr>
            <w:tcW w:w="2187" w:type="dxa"/>
            <w:vAlign w:val="top"/>
          </w:tcPr>
          <w:p w14:paraId="4DAF0FFE">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最佳适用场景</w:t>
            </w:r>
          </w:p>
        </w:tc>
        <w:tc>
          <w:tcPr>
            <w:tcW w:w="2187" w:type="dxa"/>
            <w:vAlign w:val="top"/>
          </w:tcPr>
          <w:p w14:paraId="03C06B5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认知目标</w:t>
            </w:r>
          </w:p>
        </w:tc>
      </w:tr>
      <w:tr w14:paraId="234A3F1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87" w:type="dxa"/>
            <w:vAlign w:val="top"/>
          </w:tcPr>
          <w:p w14:paraId="2704ABEE">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5E</w:t>
            </w:r>
          </w:p>
        </w:tc>
        <w:tc>
          <w:tcPr>
            <w:tcW w:w="3819" w:type="dxa"/>
            <w:vAlign w:val="top"/>
          </w:tcPr>
          <w:p w14:paraId="6438445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Engage→Explore→Explain→Elaborate→Evaluate</w:t>
            </w:r>
          </w:p>
        </w:tc>
        <w:tc>
          <w:tcPr>
            <w:tcW w:w="2187" w:type="dxa"/>
            <w:vAlign w:val="top"/>
          </w:tcPr>
          <w:p w14:paraId="3A8C8E2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标准探究活动、概念引入</w:t>
            </w:r>
          </w:p>
        </w:tc>
        <w:tc>
          <w:tcPr>
            <w:tcW w:w="2187" w:type="dxa"/>
            <w:vAlign w:val="top"/>
          </w:tcPr>
          <w:p w14:paraId="296CDBE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概念理解</w:t>
            </w:r>
          </w:p>
        </w:tc>
      </w:tr>
      <w:tr w14:paraId="3F95197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87" w:type="dxa"/>
            <w:vAlign w:val="top"/>
          </w:tcPr>
          <w:p w14:paraId="3DB8108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4-Stage</w:t>
            </w:r>
          </w:p>
        </w:tc>
        <w:tc>
          <w:tcPr>
            <w:tcW w:w="3819" w:type="dxa"/>
            <w:vAlign w:val="top"/>
          </w:tcPr>
          <w:p w14:paraId="7F7D052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Hook→Explore→Explain→Apply</w:t>
            </w:r>
          </w:p>
        </w:tc>
        <w:tc>
          <w:tcPr>
            <w:tcW w:w="2187" w:type="dxa"/>
            <w:vAlign w:val="top"/>
          </w:tcPr>
          <w:p w14:paraId="65CF6C4A">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快速体验、展览解说</w:t>
            </w:r>
          </w:p>
        </w:tc>
        <w:tc>
          <w:tcPr>
            <w:tcW w:w="2187" w:type="dxa"/>
            <w:vAlign w:val="top"/>
          </w:tcPr>
          <w:p w14:paraId="1EF6884A">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多层级</w:t>
            </w:r>
          </w:p>
        </w:tc>
      </w:tr>
      <w:tr w14:paraId="58D7772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87" w:type="dxa"/>
            <w:vAlign w:val="top"/>
          </w:tcPr>
          <w:p w14:paraId="1ED6FC5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PBL</w:t>
            </w:r>
          </w:p>
        </w:tc>
        <w:tc>
          <w:tcPr>
            <w:tcW w:w="3819" w:type="dxa"/>
            <w:vAlign w:val="top"/>
          </w:tcPr>
          <w:p w14:paraId="4DE4712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问题→探究→设计→展示→反思</w:t>
            </w:r>
          </w:p>
        </w:tc>
        <w:tc>
          <w:tcPr>
            <w:tcW w:w="2187" w:type="dxa"/>
            <w:vAlign w:val="top"/>
          </w:tcPr>
          <w:p w14:paraId="6FCB40B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真实世界问题解决、跨学科项目</w:t>
            </w:r>
          </w:p>
        </w:tc>
        <w:tc>
          <w:tcPr>
            <w:tcW w:w="2187" w:type="dxa"/>
            <w:vAlign w:val="top"/>
          </w:tcPr>
          <w:p w14:paraId="73698CBA">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高阶思维</w:t>
            </w:r>
          </w:p>
        </w:tc>
      </w:tr>
      <w:tr w14:paraId="73967B1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87" w:type="dxa"/>
            <w:vAlign w:val="top"/>
          </w:tcPr>
          <w:p w14:paraId="45199AF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Design Thinking</w:t>
            </w:r>
          </w:p>
        </w:tc>
        <w:tc>
          <w:tcPr>
            <w:tcW w:w="3819" w:type="dxa"/>
            <w:vAlign w:val="top"/>
          </w:tcPr>
          <w:p w14:paraId="2293F4C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同理心→定义→构思→原型→测试</w:t>
            </w:r>
          </w:p>
        </w:tc>
        <w:tc>
          <w:tcPr>
            <w:tcW w:w="2187" w:type="dxa"/>
            <w:vAlign w:val="top"/>
          </w:tcPr>
          <w:p w14:paraId="486CFB8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产品设计、用户中心创新</w:t>
            </w:r>
          </w:p>
        </w:tc>
        <w:tc>
          <w:tcPr>
            <w:tcW w:w="2187" w:type="dxa"/>
            <w:vAlign w:val="top"/>
          </w:tcPr>
          <w:p w14:paraId="0C52D6C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创造力</w:t>
            </w:r>
          </w:p>
        </w:tc>
      </w:tr>
      <w:tr w14:paraId="163B602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87" w:type="dxa"/>
            <w:vAlign w:val="top"/>
          </w:tcPr>
          <w:p w14:paraId="5CA2ACFA">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SSI</w:t>
            </w:r>
          </w:p>
        </w:tc>
        <w:tc>
          <w:tcPr>
            <w:tcW w:w="3819" w:type="dxa"/>
            <w:vAlign w:val="top"/>
          </w:tcPr>
          <w:p w14:paraId="247EC3B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议题→证据→视角→决策→行动</w:t>
            </w:r>
          </w:p>
        </w:tc>
        <w:tc>
          <w:tcPr>
            <w:tcW w:w="2187" w:type="dxa"/>
            <w:vAlign w:val="top"/>
          </w:tcPr>
          <w:p w14:paraId="14A1688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科学伦理争议、社会决策</w:t>
            </w:r>
          </w:p>
        </w:tc>
        <w:tc>
          <w:tcPr>
            <w:tcW w:w="2187" w:type="dxa"/>
            <w:vAlign w:val="top"/>
          </w:tcPr>
          <w:p w14:paraId="2B39E5B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批判思维</w:t>
            </w:r>
          </w:p>
        </w:tc>
      </w:tr>
      <w:tr w14:paraId="4C9FE2E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87" w:type="dxa"/>
            <w:vAlign w:val="top"/>
          </w:tcPr>
          <w:p w14:paraId="67A3142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IBL</w:t>
            </w:r>
          </w:p>
        </w:tc>
        <w:tc>
          <w:tcPr>
            <w:tcW w:w="3819" w:type="dxa"/>
            <w:vAlign w:val="top"/>
          </w:tcPr>
          <w:p w14:paraId="054C6F8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问题→假设→探究→结论→交流</w:t>
            </w:r>
          </w:p>
        </w:tc>
        <w:tc>
          <w:tcPr>
            <w:tcW w:w="2187" w:type="dxa"/>
            <w:vAlign w:val="top"/>
          </w:tcPr>
          <w:p w14:paraId="27C2443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开放性科学探究</w:t>
            </w:r>
          </w:p>
        </w:tc>
        <w:tc>
          <w:tcPr>
            <w:tcW w:w="2187" w:type="dxa"/>
            <w:vAlign w:val="top"/>
          </w:tcPr>
          <w:p w14:paraId="4D9A680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科学思维</w:t>
            </w:r>
          </w:p>
        </w:tc>
      </w:tr>
      <w:tr w14:paraId="7872CC4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87" w:type="dxa"/>
            <w:vAlign w:val="top"/>
          </w:tcPr>
          <w:p w14:paraId="1E4FBE3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POE/PEE</w:t>
            </w:r>
          </w:p>
        </w:tc>
        <w:tc>
          <w:tcPr>
            <w:tcW w:w="3819" w:type="dxa"/>
            <w:vAlign w:val="top"/>
          </w:tcPr>
          <w:p w14:paraId="1EE621A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预测→观察→解释</w:t>
            </w:r>
          </w:p>
        </w:tc>
        <w:tc>
          <w:tcPr>
            <w:tcW w:w="2187" w:type="dxa"/>
            <w:vAlign w:val="top"/>
          </w:tcPr>
          <w:p w14:paraId="7924A43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反直觉现象、前概念诊断</w:t>
            </w:r>
          </w:p>
        </w:tc>
        <w:tc>
          <w:tcPr>
            <w:tcW w:w="2187" w:type="dxa"/>
            <w:vAlign w:val="top"/>
          </w:tcPr>
          <w:p w14:paraId="716E916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概念转变</w:t>
            </w:r>
          </w:p>
        </w:tc>
      </w:tr>
      <w:tr w14:paraId="0EF9695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87" w:type="dxa"/>
            <w:vAlign w:val="top"/>
          </w:tcPr>
          <w:p w14:paraId="4C6B190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7E</w:t>
            </w:r>
          </w:p>
        </w:tc>
        <w:tc>
          <w:tcPr>
            <w:tcW w:w="3819" w:type="dxa"/>
            <w:vAlign w:val="top"/>
          </w:tcPr>
          <w:p w14:paraId="3C5E401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5E + Elaborate(拓展) + Extend(延伸)</w:t>
            </w:r>
          </w:p>
        </w:tc>
        <w:tc>
          <w:tcPr>
            <w:tcW w:w="2187" w:type="dxa"/>
            <w:vAlign w:val="top"/>
          </w:tcPr>
          <w:p w14:paraId="53FF301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深度学习、跨学科连接</w:t>
            </w:r>
          </w:p>
        </w:tc>
        <w:tc>
          <w:tcPr>
            <w:tcW w:w="2187" w:type="dxa"/>
            <w:vAlign w:val="top"/>
          </w:tcPr>
          <w:p w14:paraId="32DABA5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迁移应用</w:t>
            </w:r>
          </w:p>
        </w:tc>
      </w:tr>
      <w:tr w14:paraId="0D5537D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87" w:type="dxa"/>
            <w:vAlign w:val="top"/>
          </w:tcPr>
          <w:p w14:paraId="1174A5B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REACT</w:t>
            </w:r>
          </w:p>
        </w:tc>
        <w:tc>
          <w:tcPr>
            <w:tcW w:w="3819" w:type="dxa"/>
            <w:vAlign w:val="top"/>
          </w:tcPr>
          <w:p w14:paraId="4CFDBBF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Relating→Experiencing→Applying→Cooperating→Transferring</w:t>
            </w:r>
          </w:p>
        </w:tc>
        <w:tc>
          <w:tcPr>
            <w:tcW w:w="2187" w:type="dxa"/>
            <w:vAlign w:val="top"/>
          </w:tcPr>
          <w:p w14:paraId="33677D6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情境学习、技能迁移</w:t>
            </w:r>
          </w:p>
        </w:tc>
        <w:tc>
          <w:tcPr>
            <w:tcW w:w="2187" w:type="dxa"/>
            <w:vAlign w:val="top"/>
          </w:tcPr>
          <w:p w14:paraId="2CAA559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应用能力</w:t>
            </w:r>
          </w:p>
        </w:tc>
      </w:tr>
      <w:tr w14:paraId="104BDC1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87" w:type="dxa"/>
            <w:vAlign w:val="top"/>
          </w:tcPr>
          <w:p w14:paraId="1A0731CD">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LIA</w:t>
            </w:r>
          </w:p>
        </w:tc>
        <w:tc>
          <w:tcPr>
            <w:tcW w:w="3819" w:type="dxa"/>
            <w:vAlign w:val="top"/>
          </w:tcPr>
          <w:p w14:paraId="163F163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Learning→Inquiry→Activity</w:t>
            </w:r>
          </w:p>
        </w:tc>
        <w:tc>
          <w:tcPr>
            <w:tcW w:w="2187" w:type="dxa"/>
            <w:vAlign w:val="top"/>
          </w:tcPr>
          <w:p w14:paraId="6241AA7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结构化探究入门</w:t>
            </w:r>
          </w:p>
        </w:tc>
        <w:tc>
          <w:tcPr>
            <w:tcW w:w="2187" w:type="dxa"/>
            <w:vAlign w:val="top"/>
          </w:tcPr>
          <w:p w14:paraId="471D8DE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基础探究</w:t>
            </w:r>
          </w:p>
        </w:tc>
      </w:tr>
      <w:tr w14:paraId="74F7FD9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87" w:type="dxa"/>
            <w:vAlign w:val="top"/>
          </w:tcPr>
          <w:p w14:paraId="5A2B8FC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UbD</w:t>
            </w:r>
          </w:p>
        </w:tc>
        <w:tc>
          <w:tcPr>
            <w:tcW w:w="3819" w:type="dxa"/>
            <w:vAlign w:val="top"/>
          </w:tcPr>
          <w:p w14:paraId="2FAA426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目标→证据→活动（反向设计）</w:t>
            </w:r>
          </w:p>
        </w:tc>
        <w:tc>
          <w:tcPr>
            <w:tcW w:w="2187" w:type="dxa"/>
            <w:vAlign w:val="top"/>
          </w:tcPr>
          <w:p w14:paraId="68B31F3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课程单元设计、标准对齐</w:t>
            </w:r>
          </w:p>
        </w:tc>
        <w:tc>
          <w:tcPr>
            <w:tcW w:w="2187" w:type="dxa"/>
            <w:vAlign w:val="top"/>
          </w:tcPr>
          <w:p w14:paraId="0E086CC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目标导向</w:t>
            </w:r>
          </w:p>
        </w:tc>
      </w:tr>
      <w:tr w14:paraId="2801FBA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87" w:type="dxa"/>
            <w:vAlign w:val="top"/>
          </w:tcPr>
          <w:p w14:paraId="1ADC513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GRRF</w:t>
            </w:r>
          </w:p>
        </w:tc>
        <w:tc>
          <w:tcPr>
            <w:tcW w:w="3819" w:type="dxa"/>
            <w:vAlign w:val="top"/>
          </w:tcPr>
          <w:p w14:paraId="7EE2FC9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示范→引导→合作→独立</w:t>
            </w:r>
          </w:p>
        </w:tc>
        <w:tc>
          <w:tcPr>
            <w:tcW w:w="2187" w:type="dxa"/>
            <w:vAlign w:val="top"/>
          </w:tcPr>
          <w:p w14:paraId="74B98CC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技能习得、程序性知识</w:t>
            </w:r>
          </w:p>
        </w:tc>
        <w:tc>
          <w:tcPr>
            <w:tcW w:w="2187" w:type="dxa"/>
            <w:vAlign w:val="top"/>
          </w:tcPr>
          <w:p w14:paraId="50B23AE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自主能力</w:t>
            </w:r>
          </w:p>
        </w:tc>
      </w:tr>
      <w:tr w14:paraId="5883C66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87" w:type="dxa"/>
            <w:vAlign w:val="top"/>
          </w:tcPr>
          <w:p w14:paraId="7F5E04A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IDM</w:t>
            </w:r>
          </w:p>
        </w:tc>
        <w:tc>
          <w:tcPr>
            <w:tcW w:w="3819" w:type="dxa"/>
            <w:vAlign w:val="top"/>
          </w:tcPr>
          <w:p w14:paraId="683E35F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问题→调查→结论→论证</w:t>
            </w:r>
          </w:p>
        </w:tc>
        <w:tc>
          <w:tcPr>
            <w:tcW w:w="2187" w:type="dxa"/>
            <w:vAlign w:val="top"/>
          </w:tcPr>
          <w:p w14:paraId="14CE4E9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历史/科学探究</w:t>
            </w:r>
          </w:p>
        </w:tc>
        <w:tc>
          <w:tcPr>
            <w:tcW w:w="2187" w:type="dxa"/>
            <w:vAlign w:val="top"/>
          </w:tcPr>
          <w:p w14:paraId="75F2F3C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论证能力</w:t>
            </w:r>
          </w:p>
        </w:tc>
      </w:tr>
      <w:tr w14:paraId="167F629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PrEx>
        <w:trPr>
          <w:trHeight w:val="396" w:hRule="atLeast"/>
        </w:trPr>
        <w:tc>
          <w:tcPr>
            <w:tcW w:w="2187" w:type="dxa"/>
            <w:vAlign w:val="top"/>
          </w:tcPr>
          <w:p w14:paraId="753FB81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STREAMING</w:t>
            </w:r>
          </w:p>
        </w:tc>
        <w:tc>
          <w:tcPr>
            <w:tcW w:w="3819" w:type="dxa"/>
            <w:vAlign w:val="top"/>
          </w:tcPr>
          <w:p w14:paraId="51FA4E5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Science+Technology+Reading+Engineering+Arts+Mathematics+Inquiry+NGSS</w:t>
            </w:r>
          </w:p>
        </w:tc>
        <w:tc>
          <w:tcPr>
            <w:tcW w:w="2187" w:type="dxa"/>
            <w:vAlign w:val="top"/>
          </w:tcPr>
          <w:p w14:paraId="6C1A01D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综合STEM项目</w:t>
            </w:r>
          </w:p>
        </w:tc>
        <w:tc>
          <w:tcPr>
            <w:tcW w:w="2187" w:type="dxa"/>
            <w:vAlign w:val="top"/>
          </w:tcPr>
          <w:p w14:paraId="3F235DE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综合素养</w:t>
            </w:r>
          </w:p>
        </w:tc>
      </w:tr>
    </w:tbl>
    <w:p w14:paraId="71348CA6">
      <w:pPr>
        <w:keepNext w:val="0"/>
        <w:keepLines w:val="0"/>
        <w:pageBreakBefore w:val="0"/>
        <w:widowControl/>
        <w:kinsoku/>
        <w:wordWrap/>
        <w:overflowPunct/>
        <w:topLinePunct w:val="0"/>
        <w:autoSpaceDE/>
        <w:autoSpaceDN/>
        <w:bidi w:val="0"/>
        <w:adjustRightInd/>
        <w:snapToGrid/>
        <w:spacing w:line="240" w:lineRule="auto"/>
        <w:ind w:firstLine="422" w:firstLineChars="200"/>
        <w:jc w:val="left"/>
        <w:textAlignment w:val="baseline"/>
        <w:rPr>
          <w:rFonts w:hint="eastAsia" w:ascii="宋体" w:hAnsi="宋体" w:eastAsia="宋体" w:cs="宋体"/>
          <w:sz w:val="21"/>
          <w:szCs w:val="21"/>
        </w:rPr>
      </w:pPr>
      <w:r>
        <w:rPr>
          <w:rFonts w:hint="eastAsia" w:ascii="宋体" w:hAnsi="宋体" w:eastAsia="宋体" w:cs="宋体"/>
          <w:b/>
          <w:bCs/>
          <w:sz w:val="21"/>
          <w:szCs w:val="21"/>
        </w:rPr>
        <w:t>框架选择决策树</w:t>
      </w:r>
      <w:r>
        <w:rPr>
          <w:rFonts w:hint="eastAsia" w:ascii="宋体" w:hAnsi="宋体" w:eastAsia="宋体" w:cs="宋体"/>
          <w:sz w:val="21"/>
          <w:szCs w:val="21"/>
        </w:rPr>
        <w:t>（简化版）：</w:t>
      </w:r>
    </w:p>
    <w:p w14:paraId="09C63356">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是否需要解决真实世界问题？</w:t>
      </w:r>
    </w:p>
    <w:p w14:paraId="1EBC9287">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xml:space="preserve">  ├─ 是 → 是否需要设计实体产品？</w:t>
      </w:r>
    </w:p>
    <w:p w14:paraId="573DA4C6">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xml:space="preserve">  │         ├─ 是 → Design Thinking</w:t>
      </w:r>
    </w:p>
    <w:p w14:paraId="63DF8EED">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xml:space="preserve">  │         └─ 否 → PBL</w:t>
      </w:r>
    </w:p>
    <w:p w14:paraId="2BAFBA7B">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xml:space="preserve">  ├─ 是否涉及科学伦理争议？</w:t>
      </w:r>
    </w:p>
    <w:p w14:paraId="0419FE24">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xml:space="preserve">  │         ├─ 是 → SSI</w:t>
      </w:r>
    </w:p>
    <w:p w14:paraId="70D77896">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xml:space="preserve">  │         └─ 否 → 是否需要诊断前概念？</w:t>
      </w:r>
    </w:p>
    <w:p w14:paraId="5E89421C">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xml:space="preserve">  │                   ├─ 是 → POE/PEE</w:t>
      </w:r>
    </w:p>
    <w:p w14:paraId="632A006F">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xml:space="preserve">  │                   └─ 否 → 标准时长 (&lt;60min)?</w:t>
      </w:r>
    </w:p>
    <w:p w14:paraId="254A7A72">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xml:space="preserve">  │                             ├─ 是 → 4-Stage</w:t>
      </w:r>
    </w:p>
    <w:p w14:paraId="086C68CE">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xml:space="preserve">  │                             └─ 否 → 5E 或 7E</w:t>
      </w:r>
    </w:p>
    <w:p w14:paraId="2F5973D8">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lang w:eastAsia="zh-CN"/>
        </w:rPr>
      </w:pPr>
      <w:r>
        <w:rPr>
          <w:rFonts w:hint="eastAsia" w:ascii="宋体" w:hAnsi="宋体" w:eastAsia="宋体" w:cs="宋体"/>
          <w:sz w:val="21"/>
          <w:szCs w:val="21"/>
        </w:rPr>
        <w:t>框架选择完成后，系统输出格式为：</w:t>
      </w:r>
      <w:r>
        <w:rPr>
          <w:rFonts w:hint="eastAsia" w:ascii="宋体" w:hAnsi="宋体" w:eastAsia="宋体" w:cs="宋体"/>
          <w:sz w:val="21"/>
          <w:szCs w:val="21"/>
          <w:lang w:eastAsia="zh-CN"/>
        </w:rPr>
        <w:t>“</w:t>
      </w:r>
      <w:r>
        <w:rPr>
          <w:rFonts w:hint="eastAsia" w:ascii="宋体" w:hAnsi="宋体" w:eastAsia="宋体" w:cs="宋体"/>
          <w:sz w:val="21"/>
          <w:szCs w:val="21"/>
        </w:rPr>
        <w:t>本活动采用 [框架] 框架，因为 [理由]。</w:t>
      </w:r>
      <w:r>
        <w:rPr>
          <w:rFonts w:hint="eastAsia" w:ascii="宋体" w:hAnsi="宋体" w:eastAsia="宋体" w:cs="宋体"/>
          <w:sz w:val="21"/>
          <w:szCs w:val="21"/>
          <w:lang w:eastAsia="zh-CN"/>
        </w:rPr>
        <w:t>”</w:t>
      </w:r>
    </w:p>
    <w:p w14:paraId="24A1CB82">
      <w:pPr>
        <w:pStyle w:val="5"/>
        <w:keepNext w:val="0"/>
        <w:keepLines w:val="0"/>
        <w:pageBreakBefore w:val="0"/>
        <w:widowControl/>
        <w:numPr>
          <w:ilvl w:val="0"/>
          <w:numId w:val="3"/>
        </w:numPr>
        <w:kinsoku/>
        <w:wordWrap/>
        <w:overflowPunct/>
        <w:topLinePunct w:val="0"/>
        <w:autoSpaceDE/>
        <w:autoSpaceDN/>
        <w:bidi w:val="0"/>
        <w:adjustRightInd/>
        <w:snapToGrid/>
        <w:spacing w:before="0" w:after="0" w:line="240" w:lineRule="auto"/>
        <w:ind w:left="0" w:leftChars="0" w:firstLine="0" w:firstLineChars="0"/>
        <w:jc w:val="left"/>
        <w:textAlignment w:val="baseline"/>
        <w:rPr>
          <w:rFonts w:hint="eastAsia" w:ascii="宋体" w:hAnsi="宋体" w:eastAsia="宋体" w:cs="宋体"/>
          <w:sz w:val="21"/>
          <w:szCs w:val="21"/>
        </w:rPr>
      </w:pPr>
      <w:r>
        <w:rPr>
          <w:rFonts w:hint="eastAsia" w:ascii="宋体" w:hAnsi="宋体" w:eastAsia="宋体" w:cs="宋体"/>
          <w:sz w:val="21"/>
          <w:szCs w:val="21"/>
        </w:rPr>
        <w:t>知识解构方法</w:t>
      </w:r>
    </w:p>
    <w:p w14:paraId="248CB3F4">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在确定框架后，AISTEC 采用5-Stage知识解构方法将任意科学概念或展品转化为可教学的知识单元。Stage 1（核心概念提取）识别主题名称（正式名与别名）、核心科学原理（涉及学科、关键定律及外行一句话解释）、前置知识（学习者需要的基础与年龄适配建议）以及三维学习目标（知识/能力/情感，对齐布鲁姆分类法）。Stage 2（知识点层级拆解）将核心概念拆解为树状知识节点，每个节点包含概念名称、一句话解释、2-3个生活例子、常见误解与演示方式，从而建立完整的知识拓扑结构。Stage 3（框架特定教学序列设计）根据选定框架生成对应的阶段流程——5E/7E采用Engage→Explore→Explain→Elaborate→[Extend]→Evaluate序列，PBL采用驱动问题→探究→方案设计→成果展示→反思序列，SSI采用议题引入→证据收集→多元视角→权衡决策→行动建议序列，Design Thinking采用同理心→定义→构思→原型→测试序列，POE采用预测→观察→解释→[延伸]序列，4-Stage采用Hook→Explore→Explain→Apply序列——每个阶段均包含阶段名称、时长、目标、辅导词、互动设计与材料准备六要素。Stage 4（活动形式匹配）根据知识节点特性匹配最优活动形式，包括动手实验、观察记录、模型制作、角色扮演、游戏竞赛、讨论辩论、数字模拟与田野调查八种类型。Stage 5（难度分层）生成基础版（观察现象、了解概念）、进阶版（理解原理、解释原因）与挑战版（设计实验、解决新问题）三个层级，每个层级明确标注认知要求（记忆→理解→应用→分析→评价→创造）。上述五阶段构成了从概念理解到教学实施的完整知识转化链路。</w:t>
      </w:r>
    </w:p>
    <w:p w14:paraId="4D33F7B1">
      <w:pPr>
        <w:pStyle w:val="5"/>
        <w:keepNext w:val="0"/>
        <w:keepLines w:val="0"/>
        <w:pageBreakBefore w:val="0"/>
        <w:widowControl/>
        <w:numPr>
          <w:ilvl w:val="0"/>
          <w:numId w:val="3"/>
        </w:numPr>
        <w:kinsoku/>
        <w:wordWrap/>
        <w:overflowPunct/>
        <w:topLinePunct w:val="0"/>
        <w:autoSpaceDE/>
        <w:autoSpaceDN/>
        <w:bidi w:val="0"/>
        <w:adjustRightInd/>
        <w:snapToGrid/>
        <w:spacing w:before="0" w:after="0" w:line="240" w:lineRule="auto"/>
        <w:ind w:left="0" w:leftChars="0" w:firstLine="0" w:firstLineChars="0"/>
        <w:jc w:val="left"/>
        <w:textAlignment w:val="baseline"/>
        <w:rPr>
          <w:rFonts w:hint="eastAsia" w:ascii="宋体" w:hAnsi="宋体" w:eastAsia="宋体" w:cs="宋体"/>
          <w:sz w:val="21"/>
          <w:szCs w:val="21"/>
        </w:rPr>
      </w:pPr>
      <w:r>
        <w:rPr>
          <w:rFonts w:hint="eastAsia" w:ascii="宋体" w:hAnsi="宋体" w:eastAsia="宋体" w:cs="宋体"/>
          <w:sz w:val="21"/>
          <w:szCs w:val="21"/>
        </w:rPr>
        <w:t>UDL差异化设计</w:t>
      </w:r>
    </w:p>
    <w:p w14:paraId="184CB116">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AISTEC 将通用学习设计（UDL）三原则强制嵌入每个活动方案，以保障教育公平与学习可及性。原则1（多元表征，Multiple Means of Representation）要求为每个核心概念提供至少两种表征方式，包括视觉表征（图表、动画、实物演示、AR叠加）、听觉表征（讲解、讨论、音频描述）、触觉表征（模型触摸、实验操作、触感地图）以及文本表征（简化文本、结构化大纲、概念图）。原则2（多元表达，Multiple Means of Action and Expression）要求为学习成果提供至少两种输出方式，包括口头表达（小组汇报、辩论、数字人对话）、书面表达（实验报告、概念图、设计文档）、实物表达（模型制作、产品原型、艺术作品）以及数字表达（演示文稿、视频、交互程序）。原则3（多元参与，Multiple Means of Engagement）要求为学习者提供至少两种参与路径，包括兴趣激发（自选子主题、角色分配）、努力维持（难度自选、进度控制）以及自我调节（自我评估清单、反思提示）。系统自动执行UDL检查清单验证：每个核心知识点是否具有不少于两种表征方式、每个学习目标是否具有不少于两种评估方式、是否提供自选角色/任务/难度、是否为视觉/听觉/运动障碍者提供替代方案、以及材料成本是否提供低成本替代方案。</w:t>
      </w:r>
    </w:p>
    <w:p w14:paraId="738E4910">
      <w:pPr>
        <w:pStyle w:val="5"/>
        <w:keepNext w:val="0"/>
        <w:keepLines w:val="0"/>
        <w:pageBreakBefore w:val="0"/>
        <w:widowControl/>
        <w:numPr>
          <w:ilvl w:val="0"/>
          <w:numId w:val="3"/>
        </w:numPr>
        <w:kinsoku/>
        <w:wordWrap/>
        <w:overflowPunct/>
        <w:topLinePunct w:val="0"/>
        <w:autoSpaceDE/>
        <w:autoSpaceDN/>
        <w:bidi w:val="0"/>
        <w:adjustRightInd/>
        <w:snapToGrid/>
        <w:spacing w:before="0" w:after="0" w:line="240" w:lineRule="auto"/>
        <w:ind w:left="0" w:leftChars="0" w:firstLine="0" w:firstLineChars="0"/>
        <w:jc w:val="left"/>
        <w:textAlignment w:val="baseline"/>
        <w:rPr>
          <w:rFonts w:hint="eastAsia" w:ascii="宋体" w:hAnsi="宋体" w:eastAsia="宋体" w:cs="宋体"/>
          <w:sz w:val="21"/>
          <w:szCs w:val="21"/>
        </w:rPr>
      </w:pPr>
      <w:r>
        <w:rPr>
          <w:rFonts w:hint="eastAsia" w:ascii="宋体" w:hAnsi="宋体" w:eastAsia="宋体" w:cs="宋体"/>
          <w:sz w:val="21"/>
          <w:szCs w:val="21"/>
        </w:rPr>
        <w:t>形成性评估检查点嵌入</w:t>
      </w:r>
    </w:p>
    <w:p w14:paraId="1A997D76">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AISTEC要求每个学习目标至少嵌入一个形成性评估检查点（Formative Assessment Checkpoint），而非仅在活动结束时进行总结性评价。检查点设计遵循四项基本原则：对齐性（检查点直接对应特定学习目标）、时机性（嵌入在关键概念建构节点而非仅阶段末尾）、多样性（采用观察、提问、作品、自评等多种检查方法）以及即时反馈（提供明确的</w:t>
      </w:r>
      <w:r>
        <w:rPr>
          <w:rFonts w:hint="eastAsia" w:ascii="宋体" w:hAnsi="宋体" w:eastAsia="宋体" w:cs="宋体"/>
          <w:sz w:val="21"/>
          <w:szCs w:val="21"/>
          <w:lang w:eastAsia="zh-CN"/>
        </w:rPr>
        <w:t>“</w:t>
      </w:r>
      <w:r>
        <w:rPr>
          <w:rFonts w:hint="eastAsia" w:ascii="宋体" w:hAnsi="宋体" w:eastAsia="宋体" w:cs="宋体"/>
          <w:sz w:val="21"/>
          <w:szCs w:val="21"/>
        </w:rPr>
        <w:t>达标/未达标</w:t>
      </w:r>
      <w:r>
        <w:rPr>
          <w:rFonts w:hint="eastAsia" w:ascii="宋体" w:hAnsi="宋体" w:eastAsia="宋体" w:cs="宋体"/>
          <w:sz w:val="21"/>
          <w:szCs w:val="21"/>
          <w:lang w:eastAsia="zh-CN"/>
        </w:rPr>
        <w:t>”</w:t>
      </w:r>
      <w:r>
        <w:rPr>
          <w:rFonts w:hint="eastAsia" w:ascii="宋体" w:hAnsi="宋体" w:eastAsia="宋体" w:cs="宋体"/>
          <w:sz w:val="21"/>
          <w:szCs w:val="21"/>
        </w:rPr>
        <w:t>判断标准和补救策略）。</w:t>
      </w:r>
    </w:p>
    <w:p w14:paraId="24B589A0">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对齐性</w:t>
      </w:r>
      <w:r>
        <w:rPr>
          <w:rFonts w:hint="eastAsia" w:ascii="宋体" w:hAnsi="宋体" w:eastAsia="宋体" w:cs="宋体"/>
          <w:sz w:val="21"/>
          <w:szCs w:val="21"/>
        </w:rPr>
        <w:t>：检查点直接对应特定学习目标</w:t>
      </w:r>
    </w:p>
    <w:p w14:paraId="5B0B4B8D">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时机性</w:t>
      </w:r>
      <w:r>
        <w:rPr>
          <w:rFonts w:hint="eastAsia" w:ascii="宋体" w:hAnsi="宋体" w:eastAsia="宋体" w:cs="宋体"/>
          <w:sz w:val="21"/>
          <w:szCs w:val="21"/>
        </w:rPr>
        <w:t>：嵌入在关键概念建构节点（非仅阶段末尾）</w:t>
      </w:r>
    </w:p>
    <w:p w14:paraId="14C22CED">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多样性</w:t>
      </w:r>
      <w:r>
        <w:rPr>
          <w:rFonts w:hint="eastAsia" w:ascii="宋体" w:hAnsi="宋体" w:eastAsia="宋体" w:cs="宋体"/>
          <w:sz w:val="21"/>
          <w:szCs w:val="21"/>
        </w:rPr>
        <w:t>：采用多种检查方法（观察、提问、作品、自评）</w:t>
      </w:r>
    </w:p>
    <w:p w14:paraId="2C0DF42B">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即时反馈</w:t>
      </w:r>
      <w:r>
        <w:rPr>
          <w:rFonts w:hint="eastAsia" w:ascii="宋体" w:hAnsi="宋体" w:eastAsia="宋体" w:cs="宋体"/>
          <w:sz w:val="21"/>
          <w:szCs w:val="21"/>
        </w:rPr>
        <w:t>：提供明确的"达标/未达标"判断标准和补救策略</w:t>
      </w:r>
    </w:p>
    <w:p w14:paraId="39C5EB5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检查点模板</w:t>
      </w:r>
      <w:r>
        <w:rPr>
          <w:rFonts w:hint="eastAsia" w:ascii="宋体" w:hAnsi="宋体" w:eastAsia="宋体" w:cs="宋体"/>
          <w:sz w:val="21"/>
          <w:szCs w:val="21"/>
        </w:rPr>
        <w:t>：</w:t>
      </w:r>
    </w:p>
    <w:p w14:paraId="7D8FF4C6">
      <w:pPr>
        <w:pStyle w:val="17"/>
        <w:keepNext w:val="0"/>
        <w:keepLines w:val="0"/>
        <w:pageBreakBefore w:val="0"/>
        <w:widowControl/>
        <w:numPr>
          <w:ilvl w:val="0"/>
          <w:numId w:val="5"/>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检查点 #[N]（对应目标：[目标描述]）</w:t>
      </w:r>
    </w:p>
    <w:p w14:paraId="3C5A2EE3">
      <w:pPr>
        <w:pStyle w:val="17"/>
        <w:keepNext w:val="0"/>
        <w:keepLines w:val="0"/>
        <w:pageBreakBefore w:val="0"/>
        <w:widowControl/>
        <w:numPr>
          <w:ilvl w:val="0"/>
          <w:numId w:val="5"/>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时机：[活动阶段] 结束后</w:t>
      </w:r>
    </w:p>
    <w:p w14:paraId="121549EA">
      <w:pPr>
        <w:pStyle w:val="17"/>
        <w:keepNext w:val="0"/>
        <w:keepLines w:val="0"/>
        <w:pageBreakBefore w:val="0"/>
        <w:widowControl/>
        <w:numPr>
          <w:ilvl w:val="0"/>
          <w:numId w:val="5"/>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检查方法：[观察/提问/作品/自评]</w:t>
      </w:r>
    </w:p>
    <w:p w14:paraId="73A45FD1">
      <w:pPr>
        <w:pStyle w:val="17"/>
        <w:keepNext w:val="0"/>
        <w:keepLines w:val="0"/>
        <w:pageBreakBefore w:val="0"/>
        <w:widowControl/>
        <w:numPr>
          <w:ilvl w:val="0"/>
          <w:numId w:val="5"/>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成功指标：[可观察的行为或产出]</w:t>
      </w:r>
    </w:p>
    <w:p w14:paraId="419F07DF">
      <w:pPr>
        <w:pStyle w:val="17"/>
        <w:keepNext w:val="0"/>
        <w:keepLines w:val="0"/>
        <w:pageBreakBefore w:val="0"/>
        <w:widowControl/>
        <w:numPr>
          <w:ilvl w:val="0"/>
          <w:numId w:val="5"/>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未达标应对：[即时补救策略，如简化任务、提供支架、小组互助]</w:t>
      </w:r>
    </w:p>
    <w:p w14:paraId="5ECA845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示例</w:t>
      </w:r>
      <w:r>
        <w:rPr>
          <w:rFonts w:hint="eastAsia" w:ascii="宋体" w:hAnsi="宋体" w:eastAsia="宋体" w:cs="宋体"/>
          <w:sz w:val="21"/>
          <w:szCs w:val="21"/>
        </w:rPr>
        <w:t>（PBL</w:t>
      </w:r>
      <w:r>
        <w:rPr>
          <w:rFonts w:hint="eastAsia" w:ascii="宋体" w:hAnsi="宋体" w:eastAsia="宋体" w:cs="宋体"/>
          <w:sz w:val="21"/>
          <w:szCs w:val="21"/>
          <w:lang w:eastAsia="zh-CN"/>
        </w:rPr>
        <w:t>“</w:t>
      </w:r>
      <w:r>
        <w:rPr>
          <w:rFonts w:hint="eastAsia" w:ascii="宋体" w:hAnsi="宋体" w:eastAsia="宋体" w:cs="宋体"/>
          <w:sz w:val="21"/>
          <w:szCs w:val="21"/>
        </w:rPr>
        <w:t>校园雨水花园</w:t>
      </w:r>
      <w:r>
        <w:rPr>
          <w:rFonts w:hint="eastAsia" w:ascii="宋体" w:hAnsi="宋体" w:eastAsia="宋体" w:cs="宋体"/>
          <w:sz w:val="21"/>
          <w:szCs w:val="21"/>
          <w:lang w:eastAsia="zh-CN"/>
        </w:rPr>
        <w:t>”</w:t>
      </w:r>
      <w:r>
        <w:rPr>
          <w:rFonts w:hint="eastAsia" w:ascii="宋体" w:hAnsi="宋体" w:eastAsia="宋体" w:cs="宋体"/>
          <w:sz w:val="21"/>
          <w:szCs w:val="21"/>
        </w:rPr>
        <w:t>活动）：</w:t>
      </w:r>
    </w:p>
    <w:p w14:paraId="45185FF8">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检查点 #1（对应目标：理解水循环过程）：探究阶段后，学生能否绘制水循环示意图并解释土壤渗透性差异？</w:t>
      </w:r>
    </w:p>
    <w:p w14:paraId="05C0462F">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检查点 #2（对应目标：应用工程设计思维）：设计阶段后，学生的设计图是否包含土壤分层和排水结构？</w:t>
      </w:r>
    </w:p>
    <w:p w14:paraId="126636F3">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检查点 #3（对应目标：论证方案合理性）：展示阶段后，学生的方案是否能用科学依据回应"董事会"质疑？</w:t>
      </w:r>
    </w:p>
    <w:p w14:paraId="3E30AE98">
      <w:pPr>
        <w:pStyle w:val="5"/>
        <w:keepNext w:val="0"/>
        <w:keepLines w:val="0"/>
        <w:pageBreakBefore w:val="0"/>
        <w:widowControl/>
        <w:numPr>
          <w:ilvl w:val="0"/>
          <w:numId w:val="3"/>
        </w:numPr>
        <w:kinsoku/>
        <w:wordWrap/>
        <w:overflowPunct/>
        <w:topLinePunct w:val="0"/>
        <w:autoSpaceDE/>
        <w:autoSpaceDN/>
        <w:bidi w:val="0"/>
        <w:adjustRightInd/>
        <w:snapToGrid/>
        <w:spacing w:before="0" w:after="0" w:line="240" w:lineRule="auto"/>
        <w:ind w:left="0" w:leftChars="0" w:firstLine="0" w:firstLineChars="0"/>
        <w:jc w:val="left"/>
        <w:textAlignment w:val="baseline"/>
        <w:rPr>
          <w:rFonts w:hint="eastAsia" w:ascii="宋体" w:hAnsi="宋体" w:eastAsia="宋体" w:cs="宋体"/>
          <w:sz w:val="21"/>
          <w:szCs w:val="21"/>
        </w:rPr>
      </w:pPr>
      <w:r>
        <w:rPr>
          <w:rFonts w:hint="eastAsia" w:ascii="宋体" w:hAnsi="宋体" w:eastAsia="宋体" w:cs="宋体"/>
          <w:sz w:val="21"/>
          <w:szCs w:val="21"/>
        </w:rPr>
        <w:t>NGSS三维对齐与STEM整合</w:t>
      </w:r>
    </w:p>
    <w:p w14:paraId="45F5D28B">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对于需要对标课程标准的活动，AISTEC 自动生成 NGSS 三维对齐表：</w:t>
      </w:r>
    </w:p>
    <w:tbl>
      <w:tblPr>
        <w:tblStyle w:val="9"/>
        <w:tblW w:w="1056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3520"/>
        <w:gridCol w:w="3520"/>
        <w:gridCol w:w="3520"/>
      </w:tblGrid>
      <w:tr w14:paraId="3687524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2219950A">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维度</w:t>
            </w:r>
          </w:p>
        </w:tc>
        <w:tc>
          <w:tcPr>
            <w:tcW w:w="3520" w:type="dxa"/>
            <w:vAlign w:val="top"/>
          </w:tcPr>
          <w:p w14:paraId="6784DEC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对齐元素</w:t>
            </w:r>
          </w:p>
        </w:tc>
        <w:tc>
          <w:tcPr>
            <w:tcW w:w="3520" w:type="dxa"/>
            <w:vAlign w:val="top"/>
          </w:tcPr>
          <w:p w14:paraId="21CC851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活动体现</w:t>
            </w:r>
          </w:p>
        </w:tc>
      </w:tr>
      <w:tr w14:paraId="264C67D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24D3260D">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SEP（科学实践）</w:t>
            </w:r>
          </w:p>
        </w:tc>
        <w:tc>
          <w:tcPr>
            <w:tcW w:w="3520" w:type="dxa"/>
            <w:vAlign w:val="top"/>
          </w:tcPr>
          <w:p w14:paraId="68C74FC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开发模型、基于证据论证、分析数据</w:t>
            </w:r>
          </w:p>
        </w:tc>
        <w:tc>
          <w:tcPr>
            <w:tcW w:w="3520" w:type="dxa"/>
            <w:vAlign w:val="top"/>
          </w:tcPr>
          <w:p w14:paraId="23C92E1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学生构建水循环模型并用数据论证设计</w:t>
            </w:r>
          </w:p>
        </w:tc>
      </w:tr>
      <w:tr w14:paraId="102D3EE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275C9F4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CCC（跨学科概念）</w:t>
            </w:r>
          </w:p>
        </w:tc>
        <w:tc>
          <w:tcPr>
            <w:tcW w:w="3520" w:type="dxa"/>
            <w:vAlign w:val="top"/>
          </w:tcPr>
          <w:p w14:paraId="14D84DB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能量与物质、系统与系统模型</w:t>
            </w:r>
          </w:p>
        </w:tc>
        <w:tc>
          <w:tcPr>
            <w:tcW w:w="3520" w:type="dxa"/>
            <w:vAlign w:val="top"/>
          </w:tcPr>
          <w:p w14:paraId="71171FF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追踪雨水在花园系统中的流动路径</w:t>
            </w:r>
          </w:p>
        </w:tc>
      </w:tr>
      <w:tr w14:paraId="1CB6A4A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24D4780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DCI（学科核心概念）</w:t>
            </w:r>
          </w:p>
        </w:tc>
        <w:tc>
          <w:tcPr>
            <w:tcW w:w="3520" w:type="dxa"/>
            <w:vAlign w:val="top"/>
          </w:tcPr>
          <w:p w14:paraId="52F70A8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ESS2.C: 水在地球系统中的作用</w:t>
            </w:r>
          </w:p>
        </w:tc>
        <w:tc>
          <w:tcPr>
            <w:tcW w:w="3520" w:type="dxa"/>
            <w:vAlign w:val="top"/>
          </w:tcPr>
          <w:p w14:paraId="17F4149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理解雨水花园如何参与城市水循环</w:t>
            </w:r>
          </w:p>
        </w:tc>
      </w:tr>
    </w:tbl>
    <w:p w14:paraId="451EBEC4">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 xml:space="preserve">同时，AISTEC 支持 </w:t>
      </w:r>
      <w:r>
        <w:rPr>
          <w:rFonts w:hint="eastAsia" w:ascii="宋体" w:hAnsi="宋体" w:eastAsia="宋体" w:cs="宋体"/>
          <w:b/>
          <w:bCs/>
          <w:sz w:val="21"/>
          <w:szCs w:val="21"/>
        </w:rPr>
        <w:t>STEM/STEAM 整合设计</w:t>
      </w:r>
      <w:r>
        <w:rPr>
          <w:rFonts w:hint="eastAsia" w:ascii="宋体" w:hAnsi="宋体" w:eastAsia="宋体" w:cs="宋体"/>
          <w:sz w:val="21"/>
          <w:szCs w:val="21"/>
        </w:rPr>
        <w:t>，当活动自然涉及多学科时自动生成整合映射表：</w:t>
      </w:r>
    </w:p>
    <w:tbl>
      <w:tblPr>
        <w:tblStyle w:val="9"/>
        <w:tblW w:w="1056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3520"/>
        <w:gridCol w:w="3520"/>
        <w:gridCol w:w="3520"/>
      </w:tblGrid>
      <w:tr w14:paraId="3796991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7BBD89AA">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学科</w:t>
            </w:r>
          </w:p>
        </w:tc>
        <w:tc>
          <w:tcPr>
            <w:tcW w:w="3520" w:type="dxa"/>
            <w:vAlign w:val="top"/>
          </w:tcPr>
          <w:p w14:paraId="20D5346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角色</w:t>
            </w:r>
          </w:p>
        </w:tc>
        <w:tc>
          <w:tcPr>
            <w:tcW w:w="3520" w:type="dxa"/>
            <w:vAlign w:val="top"/>
          </w:tcPr>
          <w:p w14:paraId="00CD16D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体现环节</w:t>
            </w:r>
          </w:p>
        </w:tc>
      </w:tr>
      <w:tr w14:paraId="5B9F037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1A5E28F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科学</w:t>
            </w:r>
          </w:p>
        </w:tc>
        <w:tc>
          <w:tcPr>
            <w:tcW w:w="3520" w:type="dxa"/>
            <w:vAlign w:val="top"/>
          </w:tcPr>
          <w:p w14:paraId="0B9D810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核心</w:t>
            </w:r>
          </w:p>
        </w:tc>
        <w:tc>
          <w:tcPr>
            <w:tcW w:w="3520" w:type="dxa"/>
            <w:vAlign w:val="top"/>
          </w:tcPr>
          <w:p w14:paraId="5E34842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水循环、植物生态、土壤科学</w:t>
            </w:r>
          </w:p>
        </w:tc>
      </w:tr>
      <w:tr w14:paraId="011A510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767E938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技术</w:t>
            </w:r>
          </w:p>
        </w:tc>
        <w:tc>
          <w:tcPr>
            <w:tcW w:w="3520" w:type="dxa"/>
            <w:vAlign w:val="top"/>
          </w:tcPr>
          <w:p w14:paraId="1C2F360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工具</w:t>
            </w:r>
          </w:p>
        </w:tc>
        <w:tc>
          <w:tcPr>
            <w:tcW w:w="3520" w:type="dxa"/>
            <w:vAlign w:val="top"/>
          </w:tcPr>
          <w:p w14:paraId="63336D4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测量工具、设计软件</w:t>
            </w:r>
          </w:p>
        </w:tc>
      </w:tr>
      <w:tr w14:paraId="7473831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5BB2A64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工程</w:t>
            </w:r>
          </w:p>
        </w:tc>
        <w:tc>
          <w:tcPr>
            <w:tcW w:w="3520" w:type="dxa"/>
            <w:vAlign w:val="top"/>
          </w:tcPr>
          <w:p w14:paraId="6B4BFC7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设计</w:t>
            </w:r>
          </w:p>
        </w:tc>
        <w:tc>
          <w:tcPr>
            <w:tcW w:w="3520" w:type="dxa"/>
            <w:vAlign w:val="top"/>
          </w:tcPr>
          <w:p w14:paraId="61C0443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雨水花园结构、材料选择</w:t>
            </w:r>
          </w:p>
        </w:tc>
      </w:tr>
      <w:tr w14:paraId="0082823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36AB91CE">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数学</w:t>
            </w:r>
          </w:p>
        </w:tc>
        <w:tc>
          <w:tcPr>
            <w:tcW w:w="3520" w:type="dxa"/>
            <w:vAlign w:val="top"/>
          </w:tcPr>
          <w:p w14:paraId="449A4D0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计算</w:t>
            </w:r>
          </w:p>
        </w:tc>
        <w:tc>
          <w:tcPr>
            <w:tcW w:w="3520" w:type="dxa"/>
            <w:vAlign w:val="top"/>
          </w:tcPr>
          <w:p w14:paraId="00A386C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面积计算、降水量统计、成本估算</w:t>
            </w:r>
          </w:p>
        </w:tc>
      </w:tr>
      <w:tr w14:paraId="17DB2F8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1347683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艺术</w:t>
            </w:r>
          </w:p>
        </w:tc>
        <w:tc>
          <w:tcPr>
            <w:tcW w:w="3520" w:type="dxa"/>
            <w:vAlign w:val="top"/>
          </w:tcPr>
          <w:p w14:paraId="608CC87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美学</w:t>
            </w:r>
          </w:p>
        </w:tc>
        <w:tc>
          <w:tcPr>
            <w:tcW w:w="3520" w:type="dxa"/>
            <w:vAlign w:val="top"/>
          </w:tcPr>
          <w:p w14:paraId="4F3AB44A">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花园景观设计、展示海报</w:t>
            </w:r>
          </w:p>
        </w:tc>
      </w:tr>
    </w:tbl>
    <w:p w14:paraId="06BA06E8">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整合的前提是</w:t>
      </w:r>
      <w:r>
        <w:rPr>
          <w:rFonts w:hint="eastAsia" w:ascii="宋体" w:hAnsi="宋体" w:eastAsia="宋体" w:cs="宋体"/>
          <w:sz w:val="21"/>
          <w:szCs w:val="21"/>
          <w:lang w:eastAsia="zh-CN"/>
        </w:rPr>
        <w:t>“</w:t>
      </w:r>
      <w:r>
        <w:rPr>
          <w:rFonts w:hint="eastAsia" w:ascii="宋体" w:hAnsi="宋体" w:eastAsia="宋体" w:cs="宋体"/>
          <w:sz w:val="21"/>
          <w:szCs w:val="21"/>
        </w:rPr>
        <w:t>自然发生</w:t>
      </w:r>
      <w:r>
        <w:rPr>
          <w:rFonts w:hint="eastAsia" w:ascii="宋体" w:hAnsi="宋体" w:eastAsia="宋体" w:cs="宋体"/>
          <w:sz w:val="21"/>
          <w:szCs w:val="21"/>
          <w:lang w:eastAsia="zh-CN"/>
        </w:rPr>
        <w:t>”</w:t>
      </w:r>
      <w:r>
        <w:rPr>
          <w:rFonts w:hint="eastAsia" w:ascii="宋体" w:hAnsi="宋体" w:eastAsia="宋体" w:cs="宋体"/>
          <w:sz w:val="21"/>
          <w:szCs w:val="21"/>
        </w:rPr>
        <w:t>——STEM 整合必须由一个真实的</w:t>
      </w:r>
      <w:r>
        <w:rPr>
          <w:rFonts w:hint="eastAsia" w:ascii="宋体" w:hAnsi="宋体" w:eastAsia="宋体" w:cs="宋体"/>
          <w:sz w:val="21"/>
          <w:szCs w:val="21"/>
          <w:lang w:eastAsia="zh-CN"/>
        </w:rPr>
        <w:t>“</w:t>
      </w:r>
      <w:r>
        <w:rPr>
          <w:rFonts w:hint="eastAsia" w:ascii="宋体" w:hAnsi="宋体" w:eastAsia="宋体" w:cs="宋体"/>
          <w:sz w:val="21"/>
          <w:szCs w:val="21"/>
        </w:rPr>
        <w:t>整合问题</w:t>
      </w:r>
      <w:r>
        <w:rPr>
          <w:rFonts w:hint="eastAsia" w:ascii="宋体" w:hAnsi="宋体" w:eastAsia="宋体" w:cs="宋体"/>
          <w:sz w:val="21"/>
          <w:szCs w:val="21"/>
          <w:lang w:eastAsia="zh-CN"/>
        </w:rPr>
        <w:t>”</w:t>
      </w:r>
      <w:r>
        <w:rPr>
          <w:rFonts w:hint="eastAsia" w:ascii="宋体" w:hAnsi="宋体" w:eastAsia="宋体" w:cs="宋体"/>
          <w:sz w:val="21"/>
          <w:szCs w:val="21"/>
        </w:rPr>
        <w:t>驱动（如</w:t>
      </w:r>
      <w:r>
        <w:rPr>
          <w:rFonts w:hint="eastAsia" w:ascii="宋体" w:hAnsi="宋体" w:eastAsia="宋体" w:cs="宋体"/>
          <w:sz w:val="21"/>
          <w:szCs w:val="21"/>
          <w:lang w:eastAsia="zh-CN"/>
        </w:rPr>
        <w:t>“</w:t>
      </w:r>
      <w:r>
        <w:rPr>
          <w:rFonts w:hint="eastAsia" w:ascii="宋体" w:hAnsi="宋体" w:eastAsia="宋体" w:cs="宋体"/>
          <w:sz w:val="21"/>
          <w:szCs w:val="21"/>
        </w:rPr>
        <w:t>如何设计一个既实用又美观的雨水花园？</w:t>
      </w:r>
      <w:r>
        <w:rPr>
          <w:rFonts w:hint="eastAsia" w:ascii="宋体" w:hAnsi="宋体" w:eastAsia="宋体" w:cs="宋体"/>
          <w:sz w:val="21"/>
          <w:szCs w:val="21"/>
          <w:lang w:eastAsia="zh-CN"/>
        </w:rPr>
        <w:t>”</w:t>
      </w:r>
      <w:r>
        <w:rPr>
          <w:rFonts w:hint="eastAsia" w:ascii="宋体" w:hAnsi="宋体" w:eastAsia="宋体" w:cs="宋体"/>
          <w:sz w:val="21"/>
          <w:szCs w:val="21"/>
        </w:rPr>
        <w:t>），而非强行拼接学科内容。</w:t>
      </w:r>
    </w:p>
    <w:p w14:paraId="1A2A3DFC">
      <w:pPr>
        <w:pStyle w:val="5"/>
        <w:keepNext w:val="0"/>
        <w:keepLines w:val="0"/>
        <w:pageBreakBefore w:val="0"/>
        <w:widowControl/>
        <w:numPr>
          <w:ilvl w:val="0"/>
          <w:numId w:val="3"/>
        </w:numPr>
        <w:kinsoku/>
        <w:wordWrap/>
        <w:overflowPunct/>
        <w:topLinePunct w:val="0"/>
        <w:autoSpaceDE/>
        <w:autoSpaceDN/>
        <w:bidi w:val="0"/>
        <w:adjustRightInd/>
        <w:snapToGrid/>
        <w:spacing w:before="0" w:after="0" w:line="240" w:lineRule="auto"/>
        <w:ind w:left="0" w:leftChars="0" w:firstLine="0" w:firstLineChars="0"/>
        <w:jc w:val="left"/>
        <w:textAlignment w:val="baseline"/>
        <w:rPr>
          <w:rFonts w:hint="eastAsia" w:ascii="宋体" w:hAnsi="宋体" w:eastAsia="宋体" w:cs="宋体"/>
          <w:sz w:val="21"/>
          <w:szCs w:val="21"/>
        </w:rPr>
      </w:pPr>
      <w:r>
        <w:rPr>
          <w:rFonts w:hint="eastAsia" w:ascii="宋体" w:hAnsi="宋体" w:eastAsia="宋体" w:cs="宋体"/>
          <w:sz w:val="21"/>
          <w:szCs w:val="21"/>
        </w:rPr>
        <w:t>SSI社会性科学议题设计</w:t>
      </w:r>
    </w:p>
    <w:p w14:paraId="6D901443">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对于涉及科学伦理或社会争议的主题，AISTEC 自动切换至 SSI 框架：</w:t>
      </w:r>
    </w:p>
    <w:p w14:paraId="5E04F35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SSI设计检查清单</w:t>
      </w:r>
      <w:r>
        <w:rPr>
          <w:rFonts w:hint="eastAsia" w:ascii="宋体" w:hAnsi="宋体" w:eastAsia="宋体" w:cs="宋体"/>
          <w:sz w:val="21"/>
          <w:szCs w:val="21"/>
        </w:rPr>
        <w:t>：</w:t>
      </w:r>
    </w:p>
    <w:p w14:paraId="75AF2A3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议题是否真实、当前存在且无简单答案？</w:t>
      </w:r>
    </w:p>
    <w:p w14:paraId="606E139E">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是否提供平衡的多方证据（支持/反对/不确定）？</w:t>
      </w:r>
    </w:p>
    <w:p w14:paraId="265D4D6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是否包含至少3种不同视角（科学家/伦理学家/政策制定者/公众等）？</w:t>
      </w:r>
    </w:p>
    <w:p w14:paraId="6901473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是否训练证据-based论证（主张→证据→推理→反驳）？</w:t>
      </w:r>
    </w:p>
    <w:p w14:paraId="21D476B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是否有行动环节（写信、海报、社交媒体等）？</w:t>
      </w:r>
    </w:p>
    <w:p w14:paraId="7CC479EE">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示例</w:t>
      </w:r>
      <w:r>
        <w:rPr>
          <w:rFonts w:hint="eastAsia" w:ascii="宋体" w:hAnsi="宋体" w:eastAsia="宋体" w:cs="宋体"/>
          <w:sz w:val="21"/>
          <w:szCs w:val="21"/>
        </w:rPr>
        <w:t>（基因编辑技术议题）：</w:t>
      </w:r>
    </w:p>
    <w:p w14:paraId="534F7AB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证据：提供医疗用途成功案例、脱靶效应风险数据、基因增强社会不平等论据</w:t>
      </w:r>
    </w:p>
    <w:p w14:paraId="219488A5">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视角：患者家庭（希望治愈）、生物伦理学家（担心基因池）、医生（希望治疗工具）、宗教人士（反对干预自然）</w:t>
      </w:r>
    </w:p>
    <w:p w14:paraId="244E8BB0">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论证训练：使用</w:t>
      </w:r>
      <w:r>
        <w:rPr>
          <w:rFonts w:hint="eastAsia" w:ascii="宋体" w:hAnsi="宋体" w:eastAsia="宋体" w:cs="宋体"/>
          <w:sz w:val="21"/>
          <w:szCs w:val="21"/>
          <w:lang w:eastAsia="zh-CN"/>
        </w:rPr>
        <w:t>“</w:t>
      </w:r>
      <w:r>
        <w:rPr>
          <w:rFonts w:hint="eastAsia" w:ascii="宋体" w:hAnsi="宋体" w:eastAsia="宋体" w:cs="宋体"/>
          <w:sz w:val="21"/>
          <w:szCs w:val="21"/>
        </w:rPr>
        <w:t>主张-证据-推理-反驳</w:t>
      </w:r>
      <w:r>
        <w:rPr>
          <w:rFonts w:hint="eastAsia" w:ascii="宋体" w:hAnsi="宋体" w:eastAsia="宋体" w:cs="宋体"/>
          <w:sz w:val="21"/>
          <w:szCs w:val="21"/>
          <w:lang w:eastAsia="zh-CN"/>
        </w:rPr>
        <w:t>”</w:t>
      </w:r>
      <w:r>
        <w:rPr>
          <w:rFonts w:hint="eastAsia" w:ascii="宋体" w:hAnsi="宋体" w:eastAsia="宋体" w:cs="宋体"/>
          <w:sz w:val="21"/>
          <w:szCs w:val="21"/>
        </w:rPr>
        <w:t>结构撰写立场声明</w:t>
      </w:r>
    </w:p>
    <w:p w14:paraId="0B315E16">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行动：给卫生部写建议信、制作科普海报</w:t>
      </w:r>
    </w:p>
    <w:p w14:paraId="273C7645">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与通用LLM的</w:t>
      </w:r>
      <w:r>
        <w:rPr>
          <w:rFonts w:hint="eastAsia" w:ascii="宋体" w:hAnsi="宋体" w:eastAsia="宋体" w:cs="宋体"/>
          <w:sz w:val="21"/>
          <w:szCs w:val="21"/>
          <w:lang w:eastAsia="zh-CN"/>
        </w:rPr>
        <w:t>“</w:t>
      </w:r>
      <w:r>
        <w:rPr>
          <w:rFonts w:hint="eastAsia" w:ascii="宋体" w:hAnsi="宋体" w:eastAsia="宋体" w:cs="宋体"/>
          <w:sz w:val="21"/>
          <w:szCs w:val="21"/>
        </w:rPr>
        <w:t>直接生成</w:t>
      </w:r>
      <w:r>
        <w:rPr>
          <w:rFonts w:hint="eastAsia" w:ascii="宋体" w:hAnsi="宋体" w:eastAsia="宋体" w:cs="宋体"/>
          <w:sz w:val="21"/>
          <w:szCs w:val="21"/>
          <w:lang w:eastAsia="zh-CN"/>
        </w:rPr>
        <w:t>”</w:t>
      </w:r>
      <w:r>
        <w:rPr>
          <w:rFonts w:hint="eastAsia" w:ascii="宋体" w:hAnsi="宋体" w:eastAsia="宋体" w:cs="宋体"/>
          <w:sz w:val="21"/>
          <w:szCs w:val="21"/>
        </w:rPr>
        <w:t>不同，AISTEC 的框架选择→知识解构→差异化设计→评估嵌入范式强制AI先理解</w:t>
      </w:r>
      <w:r>
        <w:rPr>
          <w:rFonts w:hint="eastAsia" w:ascii="宋体" w:hAnsi="宋体" w:eastAsia="宋体" w:cs="宋体"/>
          <w:sz w:val="21"/>
          <w:szCs w:val="21"/>
          <w:lang w:eastAsia="zh-CN"/>
        </w:rPr>
        <w:t>“</w:t>
      </w:r>
      <w:r>
        <w:rPr>
          <w:rFonts w:hint="eastAsia" w:ascii="宋体" w:hAnsi="宋体" w:eastAsia="宋体" w:cs="宋体"/>
          <w:sz w:val="21"/>
          <w:szCs w:val="21"/>
        </w:rPr>
        <w:t>教什么</w:t>
      </w:r>
      <w:r>
        <w:rPr>
          <w:rFonts w:hint="eastAsia" w:ascii="宋体" w:hAnsi="宋体" w:eastAsia="宋体" w:cs="宋体"/>
          <w:sz w:val="21"/>
          <w:szCs w:val="21"/>
          <w:lang w:eastAsia="zh-CN"/>
        </w:rPr>
        <w:t>”“</w:t>
      </w:r>
      <w:r>
        <w:rPr>
          <w:rFonts w:hint="eastAsia" w:ascii="宋体" w:hAnsi="宋体" w:eastAsia="宋体" w:cs="宋体"/>
          <w:sz w:val="21"/>
          <w:szCs w:val="21"/>
        </w:rPr>
        <w:t>怎么教</w:t>
      </w:r>
      <w:r>
        <w:rPr>
          <w:rFonts w:hint="eastAsia" w:ascii="宋体" w:hAnsi="宋体" w:eastAsia="宋体" w:cs="宋体"/>
          <w:sz w:val="21"/>
          <w:szCs w:val="21"/>
          <w:lang w:eastAsia="zh-CN"/>
        </w:rPr>
        <w:t>”“</w:t>
      </w:r>
      <w:r>
        <w:rPr>
          <w:rFonts w:hint="eastAsia" w:ascii="宋体" w:hAnsi="宋体" w:eastAsia="宋体" w:cs="宋体"/>
          <w:sz w:val="21"/>
          <w:szCs w:val="21"/>
        </w:rPr>
        <w:t>如何确保公平</w:t>
      </w:r>
      <w:r>
        <w:rPr>
          <w:rFonts w:hint="eastAsia" w:ascii="宋体" w:hAnsi="宋体" w:eastAsia="宋体" w:cs="宋体"/>
          <w:sz w:val="21"/>
          <w:szCs w:val="21"/>
          <w:lang w:eastAsia="zh-CN"/>
        </w:rPr>
        <w:t>”“</w:t>
      </w:r>
      <w:r>
        <w:rPr>
          <w:rFonts w:hint="eastAsia" w:ascii="宋体" w:hAnsi="宋体" w:eastAsia="宋体" w:cs="宋体"/>
          <w:sz w:val="21"/>
          <w:szCs w:val="21"/>
        </w:rPr>
        <w:t>如何实时评估</w:t>
      </w:r>
      <w:r>
        <w:rPr>
          <w:rFonts w:hint="eastAsia" w:ascii="宋体" w:hAnsi="宋体" w:eastAsia="宋体" w:cs="宋体"/>
          <w:sz w:val="21"/>
          <w:szCs w:val="21"/>
          <w:lang w:eastAsia="zh-CN"/>
        </w:rPr>
        <w:t>”</w:t>
      </w:r>
      <w:r>
        <w:rPr>
          <w:rFonts w:hint="eastAsia" w:ascii="宋体" w:hAnsi="宋体" w:eastAsia="宋体" w:cs="宋体"/>
          <w:sz w:val="21"/>
          <w:szCs w:val="21"/>
        </w:rPr>
        <w:t>，再生成</w:t>
      </w:r>
      <w:r>
        <w:rPr>
          <w:rFonts w:hint="eastAsia" w:ascii="宋体" w:hAnsi="宋体" w:eastAsia="宋体" w:cs="宋体"/>
          <w:sz w:val="21"/>
          <w:szCs w:val="21"/>
          <w:lang w:eastAsia="zh-CN"/>
        </w:rPr>
        <w:t>“</w:t>
      </w:r>
      <w:r>
        <w:rPr>
          <w:rFonts w:hint="eastAsia" w:ascii="宋体" w:hAnsi="宋体" w:eastAsia="宋体" w:cs="宋体"/>
          <w:sz w:val="21"/>
          <w:szCs w:val="21"/>
        </w:rPr>
        <w:t>具体内容</w:t>
      </w:r>
      <w:r>
        <w:rPr>
          <w:rFonts w:hint="eastAsia" w:ascii="宋体" w:hAnsi="宋体" w:eastAsia="宋体" w:cs="宋体"/>
          <w:sz w:val="21"/>
          <w:szCs w:val="21"/>
          <w:lang w:eastAsia="zh-CN"/>
        </w:rPr>
        <w:t>”</w:t>
      </w:r>
      <w:r>
        <w:rPr>
          <w:rFonts w:hint="eastAsia" w:ascii="宋体" w:hAnsi="宋体" w:eastAsia="宋体" w:cs="宋体"/>
          <w:sz w:val="21"/>
          <w:szCs w:val="21"/>
        </w:rPr>
        <w:t>。这一过程显著提升了输出内容的教育有效性、公平性和可评估性。</w:t>
      </w:r>
    </w:p>
    <w:p w14:paraId="6CA4760C">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四）</w:t>
      </w:r>
      <w:r>
        <w:rPr>
          <w:rFonts w:hint="eastAsia" w:ascii="宋体" w:hAnsi="宋体" w:eastAsia="宋体" w:cs="宋体"/>
          <w:sz w:val="21"/>
          <w:szCs w:val="21"/>
        </w:rPr>
        <w:t>质量保障层：多层纠错、公平性审计与六维质量评分</w:t>
      </w:r>
    </w:p>
    <w:p w14:paraId="67C37362">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质量保障层采用三层纠错架构结合六维质量评分系统和公平性审计机制，在内容生成的全生命周期中嵌入质量控制。Layer 1（输入预处理纠错）执行输入分类（科学概念/展品介绍/活动需求/混合输入）、需求澄清（确认年龄、时长、人数、资源约束与框架偏好）以及输出标准化内部表示，若关键约束缺失则主动追问而非盲目生成。Layer 2（生成中实时监控）涵盖六类约束：结构约束（知识点是否完整树状、是否有孤立点）、流程约束（选定框架的阶段是否完整、时间分配是否合理）、可操作约束（材料是否易获取、步骤是否清晰）、安全约束（是否识别所有风险、是否有防护措施）、UDL约束（是否覆盖三原则、是否有替代方案）以及评估约束（每个目标是否有检查点）；当触发纠错条件（概念错误、超龄内容、不可行操作、逻辑跳跃、时间失衡、UDL缺失或检查点缺失）时，系统实时回溯修正。Layer 3（输出后验证）执行完整性检查（12个标准章节是否齐全）、科学性验证（理论表述正确、公式准确、因果关系成立）、安全性检查（高风险活动标识、防护措施与应急流程）、教育有效性检查（布鲁姆分类覆盖、框架完整性、参与式设计）、UDL合规检查（三原则覆盖度 ≥ 2.0/3）以及形成性评估检查（检查点数量 ≥ 学习目标数量）。上述三层纠错架构构成了从输入到输出的闭环质量控制体系。</w:t>
      </w:r>
    </w:p>
    <w:p w14:paraId="0385244D">
      <w:pPr>
        <w:pStyle w:val="5"/>
        <w:keepNext w:val="0"/>
        <w:keepLines w:val="0"/>
        <w:pageBreakBefore w:val="0"/>
        <w:widowControl/>
        <w:numPr>
          <w:ilvl w:val="0"/>
          <w:numId w:val="6"/>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六维质量评分系统</w:t>
      </w:r>
    </w:p>
    <w:p w14:paraId="16B27F53">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AISTEC 对每份活动方案进行六维加权评分：</w:t>
      </w:r>
    </w:p>
    <w:tbl>
      <w:tblPr>
        <w:tblStyle w:val="9"/>
        <w:tblW w:w="1038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595"/>
        <w:gridCol w:w="2595"/>
        <w:gridCol w:w="2595"/>
        <w:gridCol w:w="2595"/>
      </w:tblGrid>
      <w:tr w14:paraId="5421042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30706B5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维度</w:t>
            </w:r>
          </w:p>
        </w:tc>
        <w:tc>
          <w:tcPr>
            <w:tcW w:w="2595" w:type="dxa"/>
            <w:vAlign w:val="top"/>
          </w:tcPr>
          <w:p w14:paraId="4CEB4B0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权重</w:t>
            </w:r>
          </w:p>
        </w:tc>
        <w:tc>
          <w:tcPr>
            <w:tcW w:w="2595" w:type="dxa"/>
            <w:vAlign w:val="top"/>
          </w:tcPr>
          <w:p w14:paraId="2B1845F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评估要点</w:t>
            </w:r>
          </w:p>
        </w:tc>
        <w:tc>
          <w:tcPr>
            <w:tcW w:w="2595" w:type="dxa"/>
            <w:vAlign w:val="top"/>
          </w:tcPr>
          <w:p w14:paraId="7CE5503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优秀标准</w:t>
            </w:r>
          </w:p>
        </w:tc>
      </w:tr>
      <w:tr w14:paraId="6B92D39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5D7B60B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科学准确性</w:t>
            </w:r>
          </w:p>
        </w:tc>
        <w:tc>
          <w:tcPr>
            <w:tcW w:w="2595" w:type="dxa"/>
            <w:vAlign w:val="top"/>
          </w:tcPr>
          <w:p w14:paraId="18103E0D">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20%</w:t>
            </w:r>
          </w:p>
        </w:tc>
        <w:tc>
          <w:tcPr>
            <w:tcW w:w="2595" w:type="dxa"/>
            <w:vAlign w:val="top"/>
          </w:tcPr>
          <w:p w14:paraId="7F6CE0C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理论正确、公式准确、无事实错误</w:t>
            </w:r>
          </w:p>
        </w:tc>
        <w:tc>
          <w:tcPr>
            <w:tcW w:w="2595" w:type="dxa"/>
            <w:vAlign w:val="top"/>
          </w:tcPr>
          <w:p w14:paraId="59E6901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≥90分</w:t>
            </w:r>
          </w:p>
        </w:tc>
      </w:tr>
      <w:tr w14:paraId="26D133B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057E2E1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教育有效性</w:t>
            </w:r>
          </w:p>
        </w:tc>
        <w:tc>
          <w:tcPr>
            <w:tcW w:w="2595" w:type="dxa"/>
            <w:vAlign w:val="top"/>
          </w:tcPr>
          <w:p w14:paraId="3FD9C6C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20%</w:t>
            </w:r>
          </w:p>
        </w:tc>
        <w:tc>
          <w:tcPr>
            <w:tcW w:w="2595" w:type="dxa"/>
            <w:vAlign w:val="top"/>
          </w:tcPr>
          <w:p w14:paraId="553E865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认知挑战适中、框架匹配、目标分层</w:t>
            </w:r>
          </w:p>
        </w:tc>
        <w:tc>
          <w:tcPr>
            <w:tcW w:w="2595" w:type="dxa"/>
            <w:vAlign w:val="top"/>
          </w:tcPr>
          <w:p w14:paraId="485A0F1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≥85分</w:t>
            </w:r>
          </w:p>
        </w:tc>
      </w:tr>
      <w:tr w14:paraId="046B951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482D550D">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框架完整性</w:t>
            </w:r>
          </w:p>
        </w:tc>
        <w:tc>
          <w:tcPr>
            <w:tcW w:w="2595" w:type="dxa"/>
            <w:vAlign w:val="top"/>
          </w:tcPr>
          <w:p w14:paraId="438901BA">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15%</w:t>
            </w:r>
          </w:p>
        </w:tc>
        <w:tc>
          <w:tcPr>
            <w:tcW w:w="2595" w:type="dxa"/>
            <w:vAlign w:val="top"/>
          </w:tcPr>
          <w:p w14:paraId="21C22CE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选定框架的所有阶段完整、逻辑连贯</w:t>
            </w:r>
          </w:p>
        </w:tc>
        <w:tc>
          <w:tcPr>
            <w:tcW w:w="2595" w:type="dxa"/>
            <w:vAlign w:val="top"/>
          </w:tcPr>
          <w:p w14:paraId="6A7AE6D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≥80分</w:t>
            </w:r>
          </w:p>
        </w:tc>
      </w:tr>
      <w:tr w14:paraId="2768F16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6433588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可操作性</w:t>
            </w:r>
          </w:p>
        </w:tc>
        <w:tc>
          <w:tcPr>
            <w:tcW w:w="2595" w:type="dxa"/>
            <w:vAlign w:val="top"/>
          </w:tcPr>
          <w:p w14:paraId="76B3099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15%</w:t>
            </w:r>
          </w:p>
        </w:tc>
        <w:tc>
          <w:tcPr>
            <w:tcW w:w="2595" w:type="dxa"/>
            <w:vAlign w:val="top"/>
          </w:tcPr>
          <w:p w14:paraId="3DA792F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材料可获取、时间现实、步骤清晰</w:t>
            </w:r>
          </w:p>
        </w:tc>
        <w:tc>
          <w:tcPr>
            <w:tcW w:w="2595" w:type="dxa"/>
            <w:vAlign w:val="top"/>
          </w:tcPr>
          <w:p w14:paraId="42A2CD3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≥85分</w:t>
            </w:r>
          </w:p>
        </w:tc>
      </w:tr>
      <w:tr w14:paraId="52ACB39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2A6099F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UDL覆盖</w:t>
            </w:r>
          </w:p>
        </w:tc>
        <w:tc>
          <w:tcPr>
            <w:tcW w:w="2595" w:type="dxa"/>
            <w:vAlign w:val="top"/>
          </w:tcPr>
          <w:p w14:paraId="26C6621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15%</w:t>
            </w:r>
          </w:p>
        </w:tc>
        <w:tc>
          <w:tcPr>
            <w:tcW w:w="2595" w:type="dxa"/>
            <w:vAlign w:val="top"/>
          </w:tcPr>
          <w:p w14:paraId="61EDB3A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三原则覆盖度 ≥ 2.0/3、有替代方案</w:t>
            </w:r>
          </w:p>
        </w:tc>
        <w:tc>
          <w:tcPr>
            <w:tcW w:w="2595" w:type="dxa"/>
            <w:vAlign w:val="top"/>
          </w:tcPr>
          <w:p w14:paraId="24BD1EC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≥75分</w:t>
            </w:r>
          </w:p>
        </w:tc>
      </w:tr>
      <w:tr w14:paraId="313943A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03DDF87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形成性评估</w:t>
            </w:r>
          </w:p>
        </w:tc>
        <w:tc>
          <w:tcPr>
            <w:tcW w:w="2595" w:type="dxa"/>
            <w:vAlign w:val="top"/>
          </w:tcPr>
          <w:p w14:paraId="7C91A0D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15%</w:t>
            </w:r>
          </w:p>
        </w:tc>
        <w:tc>
          <w:tcPr>
            <w:tcW w:w="2595" w:type="dxa"/>
            <w:vAlign w:val="top"/>
          </w:tcPr>
          <w:p w14:paraId="21ACADBD">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检查点数量 ≥ 目标数量、方法多样</w:t>
            </w:r>
          </w:p>
        </w:tc>
        <w:tc>
          <w:tcPr>
            <w:tcW w:w="2595" w:type="dxa"/>
            <w:vAlign w:val="top"/>
          </w:tcPr>
          <w:p w14:paraId="1F1DBDE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≥70分</w:t>
            </w:r>
          </w:p>
        </w:tc>
      </w:tr>
    </w:tbl>
    <w:p w14:paraId="7F84E79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总分 = Σ(维度得分 × 权重)。评级：A(90-100)、B(80-89)、C(70-79)、D(60-69)、F(&lt;60)。</w:t>
      </w:r>
    </w:p>
    <w:p w14:paraId="411EB48B">
      <w:pPr>
        <w:pStyle w:val="5"/>
        <w:keepNext w:val="0"/>
        <w:keepLines w:val="0"/>
        <w:pageBreakBefore w:val="0"/>
        <w:widowControl/>
        <w:numPr>
          <w:ilvl w:val="0"/>
          <w:numId w:val="6"/>
        </w:numPr>
        <w:kinsoku/>
        <w:wordWrap/>
        <w:overflowPunct/>
        <w:topLinePunct w:val="0"/>
        <w:autoSpaceDE/>
        <w:autoSpaceDN/>
        <w:bidi w:val="0"/>
        <w:adjustRightInd/>
        <w:snapToGrid/>
        <w:spacing w:before="0" w:after="0" w:line="240" w:lineRule="auto"/>
        <w:ind w:left="0" w:leftChars="0" w:firstLine="0" w:firstLineChars="0"/>
        <w:jc w:val="left"/>
        <w:textAlignment w:val="baseline"/>
        <w:rPr>
          <w:rFonts w:hint="eastAsia" w:ascii="宋体" w:hAnsi="宋体" w:eastAsia="宋体" w:cs="宋体"/>
          <w:sz w:val="21"/>
          <w:szCs w:val="21"/>
        </w:rPr>
      </w:pPr>
      <w:r>
        <w:rPr>
          <w:rFonts w:hint="eastAsia" w:ascii="宋体" w:hAnsi="宋体" w:eastAsia="宋体" w:cs="宋体"/>
          <w:sz w:val="21"/>
          <w:szCs w:val="21"/>
        </w:rPr>
        <w:t>公平性与多样性审计</w:t>
      </w:r>
    </w:p>
    <w:p w14:paraId="573B2375">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AISTEC 内置</w:t>
      </w:r>
      <w:r>
        <w:rPr>
          <w:rFonts w:hint="eastAsia" w:ascii="宋体" w:hAnsi="宋体" w:eastAsia="宋体" w:cs="宋体"/>
          <w:b/>
          <w:bCs/>
          <w:sz w:val="21"/>
          <w:szCs w:val="21"/>
        </w:rPr>
        <w:t>Equity &amp; Diversity Audit</w:t>
      </w:r>
      <w:r>
        <w:rPr>
          <w:rFonts w:hint="eastAsia" w:ascii="宋体" w:hAnsi="宋体" w:eastAsia="宋体" w:cs="宋体"/>
          <w:sz w:val="21"/>
          <w:szCs w:val="21"/>
        </w:rPr>
        <w:t>模块，自动扫描活动方案的公平性：</w:t>
      </w:r>
    </w:p>
    <w:p w14:paraId="44FFC8E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审计维度</w:t>
      </w:r>
      <w:r>
        <w:rPr>
          <w:rFonts w:hint="eastAsia" w:ascii="宋体" w:hAnsi="宋体" w:eastAsia="宋体" w:cs="宋体"/>
          <w:sz w:val="21"/>
          <w:szCs w:val="21"/>
        </w:rPr>
        <w:t>：</w:t>
      </w:r>
    </w:p>
    <w:p w14:paraId="2B979AB2">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文化响应性</w:t>
      </w:r>
      <w:r>
        <w:rPr>
          <w:rFonts w:hint="eastAsia" w:ascii="宋体" w:hAnsi="宋体" w:eastAsia="宋体" w:cs="宋体"/>
          <w:sz w:val="21"/>
          <w:szCs w:val="21"/>
        </w:rPr>
        <w:t>：活动示例是否以单一文化为中心？是否涉及多元文化背景？</w:t>
      </w:r>
    </w:p>
    <w:p w14:paraId="716755D1">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性别平等</w:t>
      </w:r>
      <w:r>
        <w:rPr>
          <w:rFonts w:hint="eastAsia" w:ascii="宋体" w:hAnsi="宋体" w:eastAsia="宋体" w:cs="宋体"/>
          <w:sz w:val="21"/>
          <w:szCs w:val="21"/>
        </w:rPr>
        <w:t>：是否有性别刻板印象（如"男生搭建/女生记录"）？角色分配是否中性？</w:t>
      </w:r>
    </w:p>
    <w:p w14:paraId="3CCB8483">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无障碍设计</w:t>
      </w:r>
      <w:r>
        <w:rPr>
          <w:rFonts w:hint="eastAsia" w:ascii="宋体" w:hAnsi="宋体" w:eastAsia="宋体" w:cs="宋体"/>
          <w:sz w:val="21"/>
          <w:szCs w:val="21"/>
        </w:rPr>
        <w:t>：是否考虑视觉/听觉/运动/认知障碍者的替代参与方式？</w:t>
      </w:r>
    </w:p>
    <w:p w14:paraId="298F5A4C">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社会经济包容性</w:t>
      </w:r>
      <w:r>
        <w:rPr>
          <w:rFonts w:hint="eastAsia" w:ascii="宋体" w:hAnsi="宋体" w:eastAsia="宋体" w:cs="宋体"/>
          <w:sz w:val="21"/>
          <w:szCs w:val="21"/>
        </w:rPr>
        <w:t>：人均材料成本是否过高（&gt;50元=高风险）？是否有低成本替代方案？</w:t>
      </w:r>
    </w:p>
    <w:p w14:paraId="7382EF59">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语言多样性</w:t>
      </w:r>
      <w:r>
        <w:rPr>
          <w:rFonts w:hint="eastAsia" w:ascii="宋体" w:hAnsi="宋体" w:eastAsia="宋体" w:cs="宋体"/>
          <w:sz w:val="21"/>
          <w:szCs w:val="21"/>
        </w:rPr>
        <w:t>：是否仅提供单一语言版本？</w:t>
      </w:r>
    </w:p>
    <w:p w14:paraId="17875A7D">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审计输出</w:t>
      </w:r>
      <w:r>
        <w:rPr>
          <w:rFonts w:hint="eastAsia" w:ascii="宋体" w:hAnsi="宋体" w:eastAsia="宋体" w:cs="宋体"/>
          <w:sz w:val="21"/>
          <w:szCs w:val="21"/>
        </w:rPr>
        <w:t>：</w:t>
      </w:r>
    </w:p>
    <w:p w14:paraId="07079AE1">
      <w:pPr>
        <w:pStyle w:val="17"/>
        <w:keepNext w:val="0"/>
        <w:keepLines w:val="0"/>
        <w:pageBreakBefore w:val="0"/>
        <w:widowControl/>
        <w:numPr>
          <w:ilvl w:val="0"/>
          <w:numId w:val="7"/>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公平性审计报告</w:t>
      </w:r>
    </w:p>
    <w:p w14:paraId="344D81A8">
      <w:pPr>
        <w:pStyle w:val="17"/>
        <w:keepNext w:val="0"/>
        <w:keepLines w:val="0"/>
        <w:pageBreakBefore w:val="0"/>
        <w:widowControl/>
        <w:numPr>
          <w:ilvl w:val="0"/>
          <w:numId w:val="7"/>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p>
    <w:p w14:paraId="63395BD2">
      <w:pPr>
        <w:pStyle w:val="17"/>
        <w:keepNext w:val="0"/>
        <w:keepLines w:val="0"/>
        <w:pageBreakBefore w:val="0"/>
        <w:widowControl/>
        <w:numPr>
          <w:ilvl w:val="0"/>
          <w:numId w:val="7"/>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维度 | 问题数 | 占比 | 严重程度 | 改进建议 |</w:t>
      </w:r>
    </w:p>
    <w:p w14:paraId="2DF005E8">
      <w:pPr>
        <w:pStyle w:val="17"/>
        <w:keepNext w:val="0"/>
        <w:keepLines w:val="0"/>
        <w:pageBreakBefore w:val="0"/>
        <w:widowControl/>
        <w:numPr>
          <w:ilvl w:val="0"/>
          <w:numId w:val="7"/>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w:t>
      </w:r>
    </w:p>
    <w:p w14:paraId="100BB724">
      <w:pPr>
        <w:pStyle w:val="17"/>
        <w:keepNext w:val="0"/>
        <w:keepLines w:val="0"/>
        <w:pageBreakBefore w:val="0"/>
        <w:widowControl/>
        <w:numPr>
          <w:ilvl w:val="0"/>
          <w:numId w:val="7"/>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文化单一性 | 3 | 30% | 中 | 增加非西方文化案例 |</w:t>
      </w:r>
    </w:p>
    <w:p w14:paraId="05794CD6">
      <w:pPr>
        <w:pStyle w:val="17"/>
        <w:keepNext w:val="0"/>
        <w:keepLines w:val="0"/>
        <w:pageBreakBefore w:val="0"/>
        <w:widowControl/>
        <w:numPr>
          <w:ilvl w:val="0"/>
          <w:numId w:val="7"/>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性别刻板 | 1 | 10% | 低 | 使用中性语言 |</w:t>
      </w:r>
    </w:p>
    <w:p w14:paraId="470B533E">
      <w:pPr>
        <w:pStyle w:val="17"/>
        <w:keepNext w:val="0"/>
        <w:keepLines w:val="0"/>
        <w:pageBreakBefore w:val="0"/>
        <w:widowControl/>
        <w:numPr>
          <w:ilvl w:val="0"/>
          <w:numId w:val="7"/>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无障碍缺失 | 5 | 50% | 高 | 为视觉障碍者添加音频描述 |</w:t>
      </w:r>
    </w:p>
    <w:p w14:paraId="1B1EB330">
      <w:pPr>
        <w:pStyle w:val="17"/>
        <w:keepNext w:val="0"/>
        <w:keepLines w:val="0"/>
        <w:pageBreakBefore w:val="0"/>
        <w:widowControl/>
        <w:numPr>
          <w:ilvl w:val="0"/>
          <w:numId w:val="7"/>
        </w:numPr>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高成本活动 | 2 | 20% | 中 | 提供低成本替代材料清单 |</w:t>
      </w:r>
    </w:p>
    <w:p w14:paraId="5DB29C0F">
      <w:pPr>
        <w:pStyle w:val="5"/>
        <w:keepNext w:val="0"/>
        <w:keepLines w:val="0"/>
        <w:pageBreakBefore w:val="0"/>
        <w:widowControl/>
        <w:numPr>
          <w:ilvl w:val="0"/>
          <w:numId w:val="6"/>
        </w:numPr>
        <w:kinsoku/>
        <w:wordWrap/>
        <w:overflowPunct/>
        <w:topLinePunct w:val="0"/>
        <w:autoSpaceDE/>
        <w:autoSpaceDN/>
        <w:bidi w:val="0"/>
        <w:adjustRightInd/>
        <w:snapToGrid/>
        <w:spacing w:before="0" w:after="0" w:line="240" w:lineRule="auto"/>
        <w:ind w:left="0" w:leftChars="0" w:firstLine="0" w:firstLineChars="0"/>
        <w:jc w:val="left"/>
        <w:textAlignment w:val="baseline"/>
        <w:rPr>
          <w:rFonts w:hint="eastAsia" w:ascii="宋体" w:hAnsi="宋体" w:eastAsia="宋体" w:cs="宋体"/>
          <w:sz w:val="21"/>
          <w:szCs w:val="21"/>
        </w:rPr>
      </w:pPr>
      <w:r>
        <w:rPr>
          <w:rFonts w:hint="eastAsia" w:ascii="宋体" w:hAnsi="宋体" w:eastAsia="宋体" w:cs="宋体"/>
          <w:sz w:val="21"/>
          <w:szCs w:val="21"/>
        </w:rPr>
        <w:t>成本效益分析</w:t>
      </w:r>
    </w:p>
    <w:p w14:paraId="65033D4C">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AISTEC 自动计算活动的教育投入产出比，辅助场馆进行资源优化配置：</w:t>
      </w:r>
    </w:p>
    <w:tbl>
      <w:tblPr>
        <w:tblStyle w:val="9"/>
        <w:tblW w:w="1056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3520"/>
        <w:gridCol w:w="3520"/>
        <w:gridCol w:w="3520"/>
      </w:tblGrid>
      <w:tr w14:paraId="3EE47D1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02DEC8F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指标</w:t>
            </w:r>
          </w:p>
        </w:tc>
        <w:tc>
          <w:tcPr>
            <w:tcW w:w="3520" w:type="dxa"/>
            <w:vAlign w:val="top"/>
          </w:tcPr>
          <w:p w14:paraId="3F04125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计算方法</w:t>
            </w:r>
          </w:p>
        </w:tc>
        <w:tc>
          <w:tcPr>
            <w:tcW w:w="3520" w:type="dxa"/>
            <w:vAlign w:val="top"/>
          </w:tcPr>
          <w:p w14:paraId="2603912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应用场景</w:t>
            </w:r>
          </w:p>
        </w:tc>
      </w:tr>
      <w:tr w14:paraId="3F51B3D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4502BF4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人均材料成本</w:t>
            </w:r>
          </w:p>
        </w:tc>
        <w:tc>
          <w:tcPr>
            <w:tcW w:w="3520" w:type="dxa"/>
            <w:vAlign w:val="top"/>
          </w:tcPr>
          <w:p w14:paraId="4F80C1C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总成本 / 参与人数</w:t>
            </w:r>
          </w:p>
        </w:tc>
        <w:tc>
          <w:tcPr>
            <w:tcW w:w="3520" w:type="dxa"/>
            <w:vAlign w:val="top"/>
          </w:tcPr>
          <w:p w14:paraId="35B848D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识别高成本活动</w:t>
            </w:r>
          </w:p>
        </w:tc>
      </w:tr>
      <w:tr w14:paraId="44D2B74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1E42FD8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时间效率</w:t>
            </w:r>
          </w:p>
        </w:tc>
        <w:tc>
          <w:tcPr>
            <w:tcW w:w="3520" w:type="dxa"/>
            <w:vAlign w:val="top"/>
          </w:tcPr>
          <w:p w14:paraId="10CB6FFE">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学习目标数 / 活动时长</w:t>
            </w:r>
          </w:p>
        </w:tc>
        <w:tc>
          <w:tcPr>
            <w:tcW w:w="3520" w:type="dxa"/>
            <w:vAlign w:val="top"/>
          </w:tcPr>
          <w:p w14:paraId="63BAFF7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识别低效活动</w:t>
            </w:r>
          </w:p>
        </w:tc>
      </w:tr>
      <w:tr w14:paraId="48D7543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241D035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教育ROI</w:t>
            </w:r>
          </w:p>
        </w:tc>
        <w:tc>
          <w:tcPr>
            <w:tcW w:w="3520" w:type="dxa"/>
            <w:vAlign w:val="top"/>
          </w:tcPr>
          <w:p w14:paraId="66B68F9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质量评分 / 人均成本</w:t>
            </w:r>
          </w:p>
        </w:tc>
        <w:tc>
          <w:tcPr>
            <w:tcW w:w="3520" w:type="dxa"/>
            <w:vAlign w:val="top"/>
          </w:tcPr>
          <w:p w14:paraId="502B620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识别高价值标杆</w:t>
            </w:r>
          </w:p>
        </w:tc>
      </w:tr>
      <w:tr w14:paraId="726EB51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520" w:type="dxa"/>
            <w:vAlign w:val="top"/>
          </w:tcPr>
          <w:p w14:paraId="42FF1DF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知识覆盖密度</w:t>
            </w:r>
          </w:p>
        </w:tc>
        <w:tc>
          <w:tcPr>
            <w:tcW w:w="3520" w:type="dxa"/>
            <w:vAlign w:val="top"/>
          </w:tcPr>
          <w:p w14:paraId="293A587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知识点数 / 活动时长</w:t>
            </w:r>
          </w:p>
        </w:tc>
        <w:tc>
          <w:tcPr>
            <w:tcW w:w="3520" w:type="dxa"/>
            <w:vAlign w:val="top"/>
          </w:tcPr>
          <w:p w14:paraId="2E88947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识别信息过载/不足</w:t>
            </w:r>
          </w:p>
        </w:tc>
      </w:tr>
    </w:tbl>
    <w:p w14:paraId="3851F3A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价值标签</w:t>
      </w:r>
      <w:r>
        <w:rPr>
          <w:rFonts w:hint="eastAsia" w:ascii="宋体" w:hAnsi="宋体" w:eastAsia="宋体" w:cs="宋体"/>
          <w:sz w:val="21"/>
          <w:szCs w:val="21"/>
        </w:rPr>
        <w:t>：</w:t>
      </w:r>
      <w:r>
        <w:rPr>
          <w:rStyle w:val="15"/>
          <w:rFonts w:hint="eastAsia" w:ascii="宋体" w:hAnsi="宋体" w:eastAsia="宋体" w:cs="宋体"/>
          <w:sz w:val="21"/>
          <w:szCs w:val="21"/>
        </w:rPr>
        <w:t>⭐</w:t>
      </w:r>
      <w:r>
        <w:rPr>
          <w:rFonts w:hint="eastAsia" w:ascii="宋体" w:hAnsi="宋体" w:eastAsia="宋体" w:cs="宋体"/>
          <w:sz w:val="21"/>
          <w:szCs w:val="21"/>
        </w:rPr>
        <w:t>高价值（低成本+高质量+高覆盖）、</w:t>
      </w:r>
      <w:r>
        <w:rPr>
          <w:rStyle w:val="15"/>
          <w:rFonts w:hint="eastAsia" w:ascii="宋体" w:hAnsi="宋体" w:eastAsia="宋体" w:cs="宋体"/>
          <w:sz w:val="21"/>
          <w:szCs w:val="21"/>
        </w:rPr>
        <w:t>⚠️</w:t>
      </w:r>
      <w:r>
        <w:rPr>
          <w:rFonts w:hint="eastAsia" w:ascii="宋体" w:hAnsi="宋体" w:eastAsia="宋体" w:cs="宋体"/>
          <w:sz w:val="21"/>
          <w:szCs w:val="21"/>
        </w:rPr>
        <w:t>低价值（高成本+低质量+低覆盖）、需优化成本（高成本+中等质量）。</w:t>
      </w:r>
    </w:p>
    <w:p w14:paraId="4FF16A1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准确性标注规范</w:t>
      </w:r>
      <w:r>
        <w:rPr>
          <w:rFonts w:hint="eastAsia" w:ascii="宋体" w:hAnsi="宋体" w:eastAsia="宋体" w:cs="宋体"/>
          <w:sz w:val="21"/>
          <w:szCs w:val="21"/>
        </w:rPr>
        <w:t>是质量保障层的重要输出特征。AISTEC 生成的内容中自动嵌入六种标注：</w:t>
      </w:r>
    </w:p>
    <w:p w14:paraId="4C9DD603">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Style w:val="15"/>
          <w:rFonts w:hint="eastAsia" w:ascii="宋体" w:hAnsi="宋体" w:eastAsia="宋体" w:cs="宋体"/>
          <w:sz w:val="21"/>
          <w:szCs w:val="21"/>
        </w:rPr>
        <w:t>🔬</w:t>
      </w:r>
      <w:r>
        <w:rPr>
          <w:rFonts w:hint="eastAsia" w:ascii="宋体" w:hAnsi="宋体" w:eastAsia="宋体" w:cs="宋体"/>
          <w:sz w:val="21"/>
          <w:szCs w:val="21"/>
        </w:rPr>
        <w:t xml:space="preserve"> 科学事实（已通过文献验证）</w:t>
      </w:r>
    </w:p>
    <w:p w14:paraId="53AC2E8A">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Style w:val="15"/>
          <w:rFonts w:hint="eastAsia" w:ascii="宋体" w:hAnsi="宋体" w:eastAsia="宋体" w:cs="宋体"/>
          <w:sz w:val="21"/>
          <w:szCs w:val="21"/>
        </w:rPr>
        <w:t>📐</w:t>
      </w:r>
      <w:r>
        <w:rPr>
          <w:rFonts w:hint="eastAsia" w:ascii="宋体" w:hAnsi="宋体" w:eastAsia="宋体" w:cs="宋体"/>
          <w:sz w:val="21"/>
          <w:szCs w:val="21"/>
        </w:rPr>
        <w:t xml:space="preserve"> 简化模型（为教学目的简化，标注简化点）</w:t>
      </w:r>
    </w:p>
    <w:p w14:paraId="7C71CC72">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Style w:val="15"/>
          <w:rFonts w:hint="eastAsia" w:ascii="宋体" w:hAnsi="宋体" w:eastAsia="宋体" w:cs="宋体"/>
          <w:sz w:val="21"/>
          <w:szCs w:val="21"/>
        </w:rPr>
        <w:t>🎭</w:t>
      </w:r>
      <w:r>
        <w:rPr>
          <w:rFonts w:hint="eastAsia" w:ascii="宋体" w:hAnsi="宋体" w:eastAsia="宋体" w:cs="宋体"/>
          <w:sz w:val="21"/>
          <w:szCs w:val="21"/>
        </w:rPr>
        <w:t xml:space="preserve"> 教学类比（帮助理解的比喻，标注类比局限）</w:t>
      </w:r>
    </w:p>
    <w:p w14:paraId="5A8C955B">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Style w:val="15"/>
          <w:rFonts w:hint="eastAsia" w:ascii="宋体" w:hAnsi="宋体" w:eastAsia="宋体" w:cs="宋体"/>
          <w:sz w:val="21"/>
          <w:szCs w:val="21"/>
        </w:rPr>
        <w:t>⚠️</w:t>
      </w:r>
      <w:r>
        <w:rPr>
          <w:rFonts w:hint="eastAsia" w:ascii="宋体" w:hAnsi="宋体" w:eastAsia="宋体" w:cs="宋体"/>
          <w:sz w:val="21"/>
          <w:szCs w:val="21"/>
        </w:rPr>
        <w:t xml:space="preserve"> 常见误解（学习者容易产生的错误）</w:t>
      </w:r>
    </w:p>
    <w:p w14:paraId="7F2F652D">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Style w:val="15"/>
          <w:rFonts w:hint="eastAsia" w:ascii="宋体" w:hAnsi="宋体" w:eastAsia="宋体" w:cs="宋体"/>
          <w:sz w:val="21"/>
          <w:szCs w:val="21"/>
        </w:rPr>
        <w:t>✅</w:t>
      </w:r>
      <w:r>
        <w:rPr>
          <w:rFonts w:hint="eastAsia" w:ascii="宋体" w:hAnsi="宋体" w:eastAsia="宋体" w:cs="宋体"/>
          <w:sz w:val="21"/>
          <w:szCs w:val="21"/>
        </w:rPr>
        <w:t xml:space="preserve"> 已验证文献（通过PRISMA筛选，DOI可解析）</w:t>
      </w:r>
    </w:p>
    <w:p w14:paraId="3442EAEA">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Style w:val="15"/>
          <w:rFonts w:hint="eastAsia" w:ascii="宋体" w:hAnsi="宋体" w:eastAsia="宋体" w:cs="宋体"/>
          <w:sz w:val="21"/>
          <w:szCs w:val="21"/>
        </w:rPr>
        <w:t>❌</w:t>
      </w:r>
      <w:r>
        <w:rPr>
          <w:rFonts w:hint="eastAsia" w:ascii="宋体" w:hAnsi="宋体" w:eastAsia="宋体" w:cs="宋体"/>
          <w:sz w:val="21"/>
          <w:szCs w:val="21"/>
        </w:rPr>
        <w:t xml:space="preserve"> 待验证信息（搜索未返回明确结果，需人工复核）</w:t>
      </w:r>
    </w:p>
    <w:p w14:paraId="1947729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这一机制不仅保障了内容质量，更培养了使用者（辅导员或教师）的科学批判思维。</w:t>
      </w:r>
    </w:p>
    <w:p w14:paraId="0EBD1004">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lang w:eastAsia="zh-CN"/>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五）</w:t>
      </w:r>
      <w:r>
        <w:rPr>
          <w:rFonts w:hint="eastAsia" w:ascii="宋体" w:hAnsi="宋体" w:eastAsia="宋体" w:cs="宋体"/>
          <w:sz w:val="21"/>
          <w:szCs w:val="21"/>
        </w:rPr>
        <w:t>场景适配层：从</w:t>
      </w:r>
      <w:r>
        <w:rPr>
          <w:rFonts w:hint="eastAsia" w:ascii="宋体" w:hAnsi="宋体" w:eastAsia="宋体" w:cs="宋体"/>
          <w:sz w:val="21"/>
          <w:szCs w:val="21"/>
          <w:lang w:eastAsia="zh-CN"/>
        </w:rPr>
        <w:t>“</w:t>
      </w:r>
      <w:r>
        <w:rPr>
          <w:rFonts w:hint="eastAsia" w:ascii="宋体" w:hAnsi="宋体" w:eastAsia="宋体" w:cs="宋体"/>
          <w:sz w:val="21"/>
          <w:szCs w:val="21"/>
        </w:rPr>
        <w:t>通用文本</w:t>
      </w:r>
      <w:r>
        <w:rPr>
          <w:rFonts w:hint="eastAsia" w:ascii="宋体" w:hAnsi="宋体" w:eastAsia="宋体" w:cs="宋体"/>
          <w:sz w:val="21"/>
          <w:szCs w:val="21"/>
          <w:lang w:eastAsia="zh-CN"/>
        </w:rPr>
        <w:t>”</w:t>
      </w:r>
      <w:r>
        <w:rPr>
          <w:rFonts w:hint="eastAsia" w:ascii="宋体" w:hAnsi="宋体" w:eastAsia="宋体" w:cs="宋体"/>
          <w:sz w:val="21"/>
          <w:szCs w:val="21"/>
        </w:rPr>
        <w:t>到</w:t>
      </w:r>
      <w:r>
        <w:rPr>
          <w:rFonts w:hint="eastAsia" w:ascii="宋体" w:hAnsi="宋体" w:eastAsia="宋体" w:cs="宋体"/>
          <w:sz w:val="21"/>
          <w:szCs w:val="21"/>
          <w:lang w:eastAsia="zh-CN"/>
        </w:rPr>
        <w:t>“</w:t>
      </w:r>
      <w:r>
        <w:rPr>
          <w:rFonts w:hint="eastAsia" w:ascii="宋体" w:hAnsi="宋体" w:eastAsia="宋体" w:cs="宋体"/>
          <w:sz w:val="21"/>
          <w:szCs w:val="21"/>
        </w:rPr>
        <w:t>场馆原生</w:t>
      </w:r>
      <w:r>
        <w:rPr>
          <w:rFonts w:hint="eastAsia" w:ascii="宋体" w:hAnsi="宋体" w:eastAsia="宋体" w:cs="宋体"/>
          <w:sz w:val="21"/>
          <w:szCs w:val="21"/>
          <w:lang w:eastAsia="zh-CN"/>
        </w:rPr>
        <w:t>”</w:t>
      </w:r>
    </w:p>
    <w:p w14:paraId="36B4027B">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场景适配层是 AISTEC 区别于通用AI写作工具的关键差异化能力，其针对科普场馆的特殊环境实现了四个维度的深度适配。第一，展厅动线锚定将活动方案与真实展厅空间绑定，明确使用哪些展品、在哪个展区进行以及如何利用展厅动线设计探索路径，使活动方案从</w:t>
      </w:r>
      <w:r>
        <w:rPr>
          <w:rFonts w:hint="eastAsia" w:ascii="宋体" w:hAnsi="宋体" w:eastAsia="宋体" w:cs="宋体"/>
          <w:sz w:val="21"/>
          <w:szCs w:val="21"/>
          <w:lang w:eastAsia="zh-CN"/>
        </w:rPr>
        <w:t>“</w:t>
      </w:r>
      <w:r>
        <w:rPr>
          <w:rFonts w:hint="eastAsia" w:ascii="宋体" w:hAnsi="宋体" w:eastAsia="宋体" w:cs="宋体"/>
          <w:sz w:val="21"/>
          <w:szCs w:val="21"/>
        </w:rPr>
        <w:t>纸上方案</w:t>
      </w:r>
      <w:r>
        <w:rPr>
          <w:rFonts w:hint="eastAsia" w:ascii="宋体" w:hAnsi="宋体" w:eastAsia="宋体" w:cs="宋体"/>
          <w:sz w:val="21"/>
          <w:szCs w:val="21"/>
          <w:lang w:eastAsia="zh-CN"/>
        </w:rPr>
        <w:t>”</w:t>
      </w:r>
      <w:r>
        <w:rPr>
          <w:rFonts w:hint="eastAsia" w:ascii="宋体" w:hAnsi="宋体" w:eastAsia="宋体" w:cs="宋体"/>
          <w:sz w:val="21"/>
          <w:szCs w:val="21"/>
        </w:rPr>
        <w:t>转化为</w:t>
      </w:r>
      <w:r>
        <w:rPr>
          <w:rFonts w:hint="eastAsia" w:ascii="宋体" w:hAnsi="宋体" w:eastAsia="宋体" w:cs="宋体"/>
          <w:sz w:val="21"/>
          <w:szCs w:val="21"/>
          <w:lang w:eastAsia="zh-CN"/>
        </w:rPr>
        <w:t>“</w:t>
      </w:r>
      <w:r>
        <w:rPr>
          <w:rFonts w:hint="eastAsia" w:ascii="宋体" w:hAnsi="宋体" w:eastAsia="宋体" w:cs="宋体"/>
          <w:sz w:val="21"/>
          <w:szCs w:val="21"/>
        </w:rPr>
        <w:t>空间脚本</w:t>
      </w:r>
      <w:r>
        <w:rPr>
          <w:rFonts w:hint="eastAsia" w:ascii="宋体" w:hAnsi="宋体" w:eastAsia="宋体" w:cs="宋体"/>
          <w:sz w:val="21"/>
          <w:szCs w:val="21"/>
          <w:lang w:eastAsia="zh-CN"/>
        </w:rPr>
        <w:t>”</w:t>
      </w:r>
      <w:r>
        <w:rPr>
          <w:rFonts w:hint="eastAsia" w:ascii="宋体" w:hAnsi="宋体" w:eastAsia="宋体" w:cs="宋体"/>
          <w:sz w:val="21"/>
          <w:szCs w:val="21"/>
        </w:rPr>
        <w:t>。第二，家庭亲子协作设计需要家长和孩子共同完成的环节，利用科技馆</w:t>
      </w:r>
      <w:r>
        <w:rPr>
          <w:rFonts w:hint="eastAsia" w:ascii="宋体" w:hAnsi="宋体" w:eastAsia="宋体" w:cs="宋体"/>
          <w:sz w:val="21"/>
          <w:szCs w:val="21"/>
          <w:lang w:eastAsia="zh-CN"/>
        </w:rPr>
        <w:t>“</w:t>
      </w:r>
      <w:r>
        <w:rPr>
          <w:rFonts w:hint="eastAsia" w:ascii="宋体" w:hAnsi="宋体" w:eastAsia="宋体" w:cs="宋体"/>
          <w:sz w:val="21"/>
          <w:szCs w:val="21"/>
        </w:rPr>
        <w:t>家庭组合</w:t>
      </w:r>
      <w:r>
        <w:rPr>
          <w:rFonts w:hint="eastAsia" w:ascii="宋体" w:hAnsi="宋体" w:eastAsia="宋体" w:cs="宋体"/>
          <w:sz w:val="21"/>
          <w:szCs w:val="21"/>
          <w:lang w:eastAsia="zh-CN"/>
        </w:rPr>
        <w:t>”</w:t>
      </w:r>
      <w:r>
        <w:rPr>
          <w:rFonts w:hint="eastAsia" w:ascii="宋体" w:hAnsi="宋体" w:eastAsia="宋体" w:cs="宋体"/>
          <w:sz w:val="21"/>
          <w:szCs w:val="21"/>
        </w:rPr>
        <w:t>的天然优势实现</w:t>
      </w:r>
      <w:r>
        <w:rPr>
          <w:rFonts w:hint="eastAsia" w:ascii="宋体" w:hAnsi="宋体" w:eastAsia="宋体" w:cs="宋体"/>
          <w:sz w:val="21"/>
          <w:szCs w:val="21"/>
          <w:lang w:eastAsia="zh-CN"/>
        </w:rPr>
        <w:t>“</w:t>
      </w:r>
      <w:r>
        <w:rPr>
          <w:rFonts w:hint="eastAsia" w:ascii="宋体" w:hAnsi="宋体" w:eastAsia="宋体" w:cs="宋体"/>
          <w:sz w:val="21"/>
          <w:szCs w:val="21"/>
        </w:rPr>
        <w:t>1+1&gt;2</w:t>
      </w:r>
      <w:r>
        <w:rPr>
          <w:rFonts w:hint="eastAsia" w:ascii="宋体" w:hAnsi="宋体" w:eastAsia="宋体" w:cs="宋体"/>
          <w:sz w:val="21"/>
          <w:szCs w:val="21"/>
          <w:lang w:eastAsia="zh-CN"/>
        </w:rPr>
        <w:t>”</w:t>
      </w:r>
      <w:r>
        <w:rPr>
          <w:rFonts w:hint="eastAsia" w:ascii="宋体" w:hAnsi="宋体" w:eastAsia="宋体" w:cs="宋体"/>
          <w:sz w:val="21"/>
          <w:szCs w:val="21"/>
        </w:rPr>
        <w:t>的教育效果，这一设计特别契合我国科技馆以家庭为单位的观众结构特征。第三，辅导员-观众互动模式在方案中嵌入辅导员讲解、提问、引导的精确节点，包括话术建议、预期观众反应与过渡策略，降低新入职辅导员的教学不确定性。第四，安全与应急预案基于展厅环境制定安全预案（涵盖人流、展品操作、应急通道）以及材料不足、实验失败、时间超出、人数超预期、设备故障等备选方案，确保活动在实际执行中的稳健性。此外，场景适配层还整合了数字人交互协议和沉浸式体验脚本生成，支持将传统活动方案自动转化为数字人讲解脚本、VR/MR体验流程、智能天象节目脚本等多模态内容形态。</w:t>
      </w:r>
    </w:p>
    <w:p w14:paraId="4E8CAA91">
      <w:pPr>
        <w:keepNext w:val="0"/>
        <w:keepLines w:val="0"/>
        <w:pageBreakBefore w:val="0"/>
        <w:widowControl/>
        <w:numPr>
          <w:numId w:val="0"/>
        </w:numPr>
        <w:kinsoku/>
        <w:wordWrap/>
        <w:overflowPunct/>
        <w:topLinePunct w:val="0"/>
        <w:autoSpaceDE/>
        <w:autoSpaceDN/>
        <w:bidi w:val="0"/>
        <w:adjustRightInd/>
        <w:snapToGrid/>
        <w:spacing w:before="0" w:after="0" w:line="240" w:lineRule="auto"/>
        <w:ind w:leftChars="0"/>
        <w:jc w:val="left"/>
        <w:textAlignment w:val="baseline"/>
        <w:outlineLvl w:val="9"/>
        <w:rPr>
          <w:rFonts w:hint="eastAsia" w:ascii="宋体" w:hAnsi="宋体" w:eastAsia="宋体" w:cs="宋体"/>
          <w:sz w:val="21"/>
          <w:szCs w:val="21"/>
          <w:lang w:val="en-US" w:eastAsia="zh-CN"/>
        </w:rPr>
      </w:pPr>
    </w:p>
    <w:p w14:paraId="320E63A7">
      <w:pPr>
        <w:pStyle w:val="3"/>
        <w:keepNext w:val="0"/>
        <w:keepLines w:val="0"/>
        <w:pageBreakBefore w:val="0"/>
        <w:widowControl/>
        <w:numPr>
          <w:numId w:val="0"/>
        </w:numPr>
        <w:kinsoku/>
        <w:wordWrap/>
        <w:overflowPunct/>
        <w:topLinePunct w:val="0"/>
        <w:autoSpaceDE/>
        <w:autoSpaceDN/>
        <w:bidi w:val="0"/>
        <w:adjustRightInd/>
        <w:snapToGrid/>
        <w:spacing w:before="0" w:after="0"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lang w:val="en-US" w:eastAsia="zh-CN"/>
        </w:rPr>
        <w:t>四、</w:t>
      </w:r>
      <w:r>
        <w:rPr>
          <w:rFonts w:hint="eastAsia" w:ascii="宋体" w:hAnsi="宋体" w:eastAsia="宋体" w:cs="宋体"/>
          <w:sz w:val="21"/>
          <w:szCs w:val="21"/>
        </w:rPr>
        <w:t>关键技术路径</w:t>
      </w:r>
    </w:p>
    <w:p w14:paraId="61EC5B12">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一）</w:t>
      </w:r>
      <w:r>
        <w:rPr>
          <w:rFonts w:hint="eastAsia" w:ascii="宋体" w:hAnsi="宋体" w:eastAsia="宋体" w:cs="宋体"/>
          <w:sz w:val="21"/>
          <w:szCs w:val="21"/>
        </w:rPr>
        <w:t>基于LLM与文献计量的研究脉络自动梳理引擎</w:t>
      </w:r>
    </w:p>
    <w:p w14:paraId="237A82EF">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研究脉络梳理引擎是知识验证层的核心组件，其创新在于将传统文献检索与文献计量学分析相结合，实现从</w:t>
      </w:r>
      <w:r>
        <w:rPr>
          <w:rFonts w:hint="eastAsia" w:ascii="宋体" w:hAnsi="宋体" w:eastAsia="宋体" w:cs="宋体"/>
          <w:sz w:val="21"/>
          <w:szCs w:val="21"/>
          <w:lang w:eastAsia="zh-CN"/>
        </w:rPr>
        <w:t>“</w:t>
      </w:r>
      <w:r>
        <w:rPr>
          <w:rFonts w:hint="eastAsia" w:ascii="宋体" w:hAnsi="宋体" w:eastAsia="宋体" w:cs="宋体"/>
          <w:sz w:val="21"/>
          <w:szCs w:val="21"/>
        </w:rPr>
        <w:t>人工逐篇阅读</w:t>
      </w:r>
      <w:r>
        <w:rPr>
          <w:rFonts w:hint="eastAsia" w:ascii="宋体" w:hAnsi="宋体" w:eastAsia="宋体" w:cs="宋体"/>
          <w:sz w:val="21"/>
          <w:szCs w:val="21"/>
          <w:lang w:eastAsia="zh-CN"/>
        </w:rPr>
        <w:t>”</w:t>
      </w:r>
      <w:r>
        <w:rPr>
          <w:rFonts w:hint="eastAsia" w:ascii="宋体" w:hAnsi="宋体" w:eastAsia="宋体" w:cs="宋体"/>
          <w:sz w:val="21"/>
          <w:szCs w:val="21"/>
        </w:rPr>
        <w:t>到</w:t>
      </w:r>
      <w:r>
        <w:rPr>
          <w:rFonts w:hint="eastAsia" w:ascii="宋体" w:hAnsi="宋体" w:eastAsia="宋体" w:cs="宋体"/>
          <w:sz w:val="21"/>
          <w:szCs w:val="21"/>
          <w:lang w:eastAsia="zh-CN"/>
        </w:rPr>
        <w:t>“</w:t>
      </w:r>
      <w:r>
        <w:rPr>
          <w:rFonts w:hint="eastAsia" w:ascii="宋体" w:hAnsi="宋体" w:eastAsia="宋体" w:cs="宋体"/>
          <w:sz w:val="21"/>
          <w:szCs w:val="21"/>
        </w:rPr>
        <w:t>智能计量定位</w:t>
      </w:r>
      <w:r>
        <w:rPr>
          <w:rFonts w:hint="eastAsia" w:ascii="宋体" w:hAnsi="宋体" w:eastAsia="宋体" w:cs="宋体"/>
          <w:sz w:val="21"/>
          <w:szCs w:val="21"/>
          <w:lang w:eastAsia="zh-CN"/>
        </w:rPr>
        <w:t>”</w:t>
      </w:r>
      <w:r>
        <w:rPr>
          <w:rFonts w:hint="eastAsia" w:ascii="宋体" w:hAnsi="宋体" w:eastAsia="宋体" w:cs="宋体"/>
          <w:sz w:val="21"/>
          <w:szCs w:val="21"/>
        </w:rPr>
        <w:t>的跨越。该引擎首先执行多语言搜索策略生成，将用户输入的科学概念自动转化为中英文搜索关键词矩阵，覆盖</w:t>
      </w:r>
      <w:r>
        <w:rPr>
          <w:rFonts w:hint="eastAsia" w:ascii="宋体" w:hAnsi="宋体" w:eastAsia="宋体" w:cs="宋体"/>
          <w:sz w:val="21"/>
          <w:szCs w:val="21"/>
          <w:lang w:eastAsia="zh-CN"/>
        </w:rPr>
        <w:t>“</w:t>
      </w:r>
      <w:r>
        <w:rPr>
          <w:rFonts w:hint="eastAsia" w:ascii="宋体" w:hAnsi="宋体" w:eastAsia="宋体" w:cs="宋体"/>
          <w:sz w:val="21"/>
          <w:szCs w:val="21"/>
        </w:rPr>
        <w:t>主题+review/survey</w:t>
      </w:r>
      <w:r>
        <w:rPr>
          <w:rFonts w:hint="eastAsia" w:ascii="宋体" w:hAnsi="宋体" w:eastAsia="宋体" w:cs="宋体"/>
          <w:sz w:val="21"/>
          <w:szCs w:val="21"/>
          <w:lang w:eastAsia="zh-CN"/>
        </w:rPr>
        <w:t>”</w:t>
      </w:r>
      <w:r>
        <w:rPr>
          <w:rFonts w:hint="eastAsia" w:ascii="宋体" w:hAnsi="宋体" w:eastAsia="宋体" w:cs="宋体"/>
          <w:sz w:val="21"/>
          <w:szCs w:val="21"/>
        </w:rPr>
        <w:t>、</w:t>
      </w:r>
      <w:r>
        <w:rPr>
          <w:rFonts w:hint="eastAsia" w:ascii="宋体" w:hAnsi="宋体" w:eastAsia="宋体" w:cs="宋体"/>
          <w:sz w:val="21"/>
          <w:szCs w:val="21"/>
          <w:lang w:eastAsia="zh-CN"/>
        </w:rPr>
        <w:t>“</w:t>
      </w:r>
      <w:r>
        <w:rPr>
          <w:rFonts w:hint="eastAsia" w:ascii="宋体" w:hAnsi="宋体" w:eastAsia="宋体" w:cs="宋体"/>
          <w:sz w:val="21"/>
          <w:szCs w:val="21"/>
        </w:rPr>
        <w:t>主题+landmark/breakthrough</w:t>
      </w:r>
      <w:r>
        <w:rPr>
          <w:rFonts w:hint="eastAsia" w:ascii="宋体" w:hAnsi="宋体" w:eastAsia="宋体" w:cs="宋体"/>
          <w:sz w:val="21"/>
          <w:szCs w:val="21"/>
          <w:lang w:eastAsia="zh-CN"/>
        </w:rPr>
        <w:t>”</w:t>
      </w:r>
      <w:r>
        <w:rPr>
          <w:rFonts w:hint="eastAsia" w:ascii="宋体" w:hAnsi="宋体" w:eastAsia="宋体" w:cs="宋体"/>
          <w:sz w:val="21"/>
          <w:szCs w:val="21"/>
        </w:rPr>
        <w:t>、</w:t>
      </w:r>
      <w:r>
        <w:rPr>
          <w:rFonts w:hint="eastAsia" w:ascii="宋体" w:hAnsi="宋体" w:eastAsia="宋体" w:cs="宋体"/>
          <w:sz w:val="21"/>
          <w:szCs w:val="21"/>
          <w:lang w:eastAsia="zh-CN"/>
        </w:rPr>
        <w:t>“</w:t>
      </w:r>
      <w:r>
        <w:rPr>
          <w:rFonts w:hint="eastAsia" w:ascii="宋体" w:hAnsi="宋体" w:eastAsia="宋体" w:cs="宋体"/>
          <w:sz w:val="21"/>
          <w:szCs w:val="21"/>
        </w:rPr>
        <w:t>主题+timeline/history</w:t>
      </w:r>
      <w:r>
        <w:rPr>
          <w:rFonts w:hint="eastAsia" w:ascii="宋体" w:hAnsi="宋体" w:eastAsia="宋体" w:cs="宋体"/>
          <w:sz w:val="21"/>
          <w:szCs w:val="21"/>
          <w:lang w:eastAsia="zh-CN"/>
        </w:rPr>
        <w:t>”</w:t>
      </w:r>
      <w:r>
        <w:rPr>
          <w:rFonts w:hint="eastAsia" w:ascii="宋体" w:hAnsi="宋体" w:eastAsia="宋体" w:cs="宋体"/>
          <w:sz w:val="21"/>
          <w:szCs w:val="21"/>
        </w:rPr>
        <w:t>、</w:t>
      </w:r>
      <w:r>
        <w:rPr>
          <w:rFonts w:hint="eastAsia" w:ascii="宋体" w:hAnsi="宋体" w:eastAsia="宋体" w:cs="宋体"/>
          <w:sz w:val="21"/>
          <w:szCs w:val="21"/>
          <w:lang w:eastAsia="zh-CN"/>
        </w:rPr>
        <w:t>“</w:t>
      </w:r>
      <w:r>
        <w:rPr>
          <w:rFonts w:hint="eastAsia" w:ascii="宋体" w:hAnsi="宋体" w:eastAsia="宋体" w:cs="宋体"/>
          <w:sz w:val="21"/>
          <w:szCs w:val="21"/>
        </w:rPr>
        <w:t>主题+recent advances</w:t>
      </w:r>
      <w:r>
        <w:rPr>
          <w:rFonts w:hint="eastAsia" w:ascii="宋体" w:hAnsi="宋体" w:eastAsia="宋体" w:cs="宋体"/>
          <w:sz w:val="21"/>
          <w:szCs w:val="21"/>
          <w:lang w:eastAsia="zh-CN"/>
        </w:rPr>
        <w:t>”</w:t>
      </w:r>
      <w:r>
        <w:rPr>
          <w:rFonts w:hint="eastAsia" w:ascii="宋体" w:hAnsi="宋体" w:eastAsia="宋体" w:cs="宋体"/>
          <w:sz w:val="21"/>
          <w:szCs w:val="21"/>
        </w:rPr>
        <w:t>四个维度，同时生成CiteSpace/VOSviewer风格的关键词共现矩阵用于后续聚类分析。</w:t>
      </w:r>
    </w:p>
    <w:p w14:paraId="2AA1447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文献计量分析引擎</w:t>
      </w:r>
      <w:r>
        <w:rPr>
          <w:rFonts w:hint="eastAsia" w:ascii="宋体" w:hAnsi="宋体" w:eastAsia="宋体" w:cs="宋体"/>
          <w:sz w:val="21"/>
          <w:szCs w:val="21"/>
        </w:rPr>
        <w:t>：</w:t>
      </w:r>
    </w:p>
    <w:p w14:paraId="13934DB5">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共被引网络分析</w:t>
      </w:r>
      <w:r>
        <w:rPr>
          <w:rFonts w:hint="eastAsia" w:ascii="宋体" w:hAnsi="宋体" w:eastAsia="宋体" w:cs="宋体"/>
          <w:sz w:val="21"/>
          <w:szCs w:val="21"/>
        </w:rPr>
        <w:t>：利用 VOSviewer 方法构建共被引网络，计算聚类质量指标（Modularity Q &gt; 0.3, Silhouette S &gt; 0.7），识别知识基础（Intellectual Base）中的核心论文（高中介中心性节点，紫色环标记）和桥梁论文（跨学科连接）。</w:t>
      </w:r>
    </w:p>
    <w:p w14:paraId="6B5AEB6C">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引用爆发检测</w:t>
      </w:r>
      <w:r>
        <w:rPr>
          <w:rFonts w:hint="eastAsia" w:ascii="宋体" w:hAnsi="宋体" w:eastAsia="宋体" w:cs="宋体"/>
          <w:sz w:val="21"/>
          <w:szCs w:val="21"/>
        </w:rPr>
        <w:t>：采用 Kleinberg (2002) 突发检测算法，识别引用量突然增长的论文（突发强度 δ &gt; 3.0），判断其处于</w:t>
      </w:r>
      <w:r>
        <w:rPr>
          <w:rFonts w:hint="eastAsia" w:ascii="宋体" w:hAnsi="宋体" w:eastAsia="宋体" w:cs="宋体"/>
          <w:sz w:val="21"/>
          <w:szCs w:val="21"/>
          <w:lang w:eastAsia="zh-CN"/>
        </w:rPr>
        <w:t>“</w:t>
      </w:r>
      <w:r>
        <w:rPr>
          <w:rFonts w:hint="eastAsia" w:ascii="宋体" w:hAnsi="宋体" w:eastAsia="宋体" w:cs="宋体"/>
          <w:sz w:val="21"/>
          <w:szCs w:val="21"/>
        </w:rPr>
        <w:t>持续爆发</w:t>
      </w:r>
      <w:r>
        <w:rPr>
          <w:rFonts w:hint="eastAsia" w:ascii="宋体" w:hAnsi="宋体" w:eastAsia="宋体" w:cs="宋体"/>
          <w:sz w:val="21"/>
          <w:szCs w:val="21"/>
          <w:lang w:eastAsia="zh-CN"/>
        </w:rPr>
        <w:t>”</w:t>
      </w:r>
      <w:r>
        <w:rPr>
          <w:rFonts w:hint="eastAsia" w:ascii="宋体" w:hAnsi="宋体" w:eastAsia="宋体" w:cs="宋体"/>
          <w:sz w:val="21"/>
          <w:szCs w:val="21"/>
        </w:rPr>
        <w:t>、</w:t>
      </w:r>
      <w:r>
        <w:rPr>
          <w:rFonts w:hint="eastAsia" w:ascii="宋体" w:hAnsi="宋体" w:eastAsia="宋体" w:cs="宋体"/>
          <w:sz w:val="21"/>
          <w:szCs w:val="21"/>
          <w:lang w:eastAsia="zh-CN"/>
        </w:rPr>
        <w:t>“</w:t>
      </w:r>
      <w:r>
        <w:rPr>
          <w:rFonts w:hint="eastAsia" w:ascii="宋体" w:hAnsi="宋体" w:eastAsia="宋体" w:cs="宋体"/>
          <w:sz w:val="21"/>
          <w:szCs w:val="21"/>
        </w:rPr>
        <w:t>短期爆发</w:t>
      </w:r>
      <w:r>
        <w:rPr>
          <w:rFonts w:hint="eastAsia" w:ascii="宋体" w:hAnsi="宋体" w:eastAsia="宋体" w:cs="宋体"/>
          <w:sz w:val="21"/>
          <w:szCs w:val="21"/>
          <w:lang w:eastAsia="zh-CN"/>
        </w:rPr>
        <w:t>”</w:t>
      </w:r>
      <w:r>
        <w:rPr>
          <w:rFonts w:hint="eastAsia" w:ascii="宋体" w:hAnsi="宋体" w:eastAsia="宋体" w:cs="宋体"/>
          <w:sz w:val="21"/>
          <w:szCs w:val="21"/>
        </w:rPr>
        <w:t>或</w:t>
      </w:r>
      <w:r>
        <w:rPr>
          <w:rFonts w:hint="eastAsia" w:ascii="宋体" w:hAnsi="宋体" w:eastAsia="宋体" w:cs="宋体"/>
          <w:sz w:val="21"/>
          <w:szCs w:val="21"/>
          <w:lang w:eastAsia="zh-CN"/>
        </w:rPr>
        <w:t>“</w:t>
      </w:r>
      <w:r>
        <w:rPr>
          <w:rFonts w:hint="eastAsia" w:ascii="宋体" w:hAnsi="宋体" w:eastAsia="宋体" w:cs="宋体"/>
          <w:sz w:val="21"/>
          <w:szCs w:val="21"/>
        </w:rPr>
        <w:t>爆发下降</w:t>
      </w:r>
      <w:r>
        <w:rPr>
          <w:rFonts w:hint="eastAsia" w:ascii="宋体" w:hAnsi="宋体" w:eastAsia="宋体" w:cs="宋体"/>
          <w:sz w:val="21"/>
          <w:szCs w:val="21"/>
          <w:lang w:eastAsia="zh-CN"/>
        </w:rPr>
        <w:t>”</w:t>
      </w:r>
      <w:r>
        <w:rPr>
          <w:rFonts w:hint="eastAsia" w:ascii="宋体" w:hAnsi="宋体" w:eastAsia="宋体" w:cs="宋体"/>
          <w:sz w:val="21"/>
          <w:szCs w:val="21"/>
        </w:rPr>
        <w:t>状态，识别研究前沿（Research Front）。</w:t>
      </w:r>
    </w:p>
    <w:p w14:paraId="0A3B83E1">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关键词共现分析</w:t>
      </w:r>
      <w:r>
        <w:rPr>
          <w:rFonts w:hint="eastAsia" w:ascii="宋体" w:hAnsi="宋体" w:eastAsia="宋体" w:cs="宋体"/>
          <w:sz w:val="21"/>
          <w:szCs w:val="21"/>
        </w:rPr>
        <w:t>：构建关键词共现矩阵，识别高频关键词聚类，揭示研究热点与潜在空白。利用 LLR（对数似然比）算法提取聚类标签。</w:t>
      </w:r>
    </w:p>
    <w:p w14:paraId="17D59CBD">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时间线分析</w:t>
      </w:r>
      <w:r>
        <w:rPr>
          <w:rFonts w:hint="eastAsia" w:ascii="宋体" w:hAnsi="宋体" w:eastAsia="宋体" w:cs="宋体"/>
          <w:sz w:val="21"/>
          <w:szCs w:val="21"/>
        </w:rPr>
        <w:t>：构建 CiteSpace Timeline View，展示各聚类的时间分布和演进趋势，识别</w:t>
      </w:r>
      <w:r>
        <w:rPr>
          <w:rFonts w:hint="eastAsia" w:ascii="宋体" w:hAnsi="宋体" w:eastAsia="宋体" w:cs="宋体"/>
          <w:sz w:val="21"/>
          <w:szCs w:val="21"/>
          <w:lang w:eastAsia="zh-CN"/>
        </w:rPr>
        <w:t>“</w:t>
      </w:r>
      <w:r>
        <w:rPr>
          <w:rFonts w:hint="eastAsia" w:ascii="宋体" w:hAnsi="宋体" w:eastAsia="宋体" w:cs="宋体"/>
          <w:sz w:val="21"/>
          <w:szCs w:val="21"/>
        </w:rPr>
        <w:t>起源期→奠基期→爆发期→分化期→当前期</w:t>
      </w:r>
      <w:r>
        <w:rPr>
          <w:rFonts w:hint="eastAsia" w:ascii="宋体" w:hAnsi="宋体" w:eastAsia="宋体" w:cs="宋体"/>
          <w:sz w:val="21"/>
          <w:szCs w:val="21"/>
          <w:lang w:eastAsia="zh-CN"/>
        </w:rPr>
        <w:t>”</w:t>
      </w:r>
      <w:r>
        <w:rPr>
          <w:rFonts w:hint="eastAsia" w:ascii="宋体" w:hAnsi="宋体" w:eastAsia="宋体" w:cs="宋体"/>
          <w:sz w:val="21"/>
          <w:szCs w:val="21"/>
        </w:rPr>
        <w:t>。</w:t>
      </w:r>
    </w:p>
    <w:p w14:paraId="21ECE9FC">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双图叠加分析</w:t>
      </w:r>
      <w:r>
        <w:rPr>
          <w:rFonts w:hint="eastAsia" w:ascii="宋体" w:hAnsi="宋体" w:eastAsia="宋体" w:cs="宋体"/>
          <w:sz w:val="21"/>
          <w:szCs w:val="21"/>
        </w:rPr>
        <w:t>：绘制期刊双图叠加（Dual-map Overlay），揭示本领域论文的发表期刊与引用期刊之间的知识流动关系。</w:t>
      </w:r>
    </w:p>
    <w:p w14:paraId="49DCEBBA">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PRISMA系统筛选流程</w:t>
      </w:r>
      <w:r>
        <w:rPr>
          <w:rFonts w:hint="eastAsia" w:ascii="宋体" w:hAnsi="宋体" w:eastAsia="宋体" w:cs="宋体"/>
          <w:sz w:val="21"/>
          <w:szCs w:val="21"/>
        </w:rPr>
        <w:t>：</w:t>
      </w:r>
    </w:p>
    <w:p w14:paraId="52441D0B">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初筛阶段</w:t>
      </w:r>
      <w:r>
        <w:rPr>
          <w:rFonts w:hint="eastAsia" w:ascii="宋体" w:hAnsi="宋体" w:eastAsia="宋体" w:cs="宋体"/>
          <w:sz w:val="21"/>
          <w:szCs w:val="21"/>
        </w:rPr>
        <w:t>：计量分析去重 + 标题/摘要筛查，排除不相关/非学术/无法获取文献，记录排除原因</w:t>
      </w:r>
    </w:p>
    <w:p w14:paraId="651D4456">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精筛阶段</w:t>
      </w:r>
      <w:r>
        <w:rPr>
          <w:rFonts w:hint="eastAsia" w:ascii="宋体" w:hAnsi="宋体" w:eastAsia="宋体" w:cs="宋体"/>
          <w:sz w:val="21"/>
          <w:szCs w:val="21"/>
        </w:rPr>
        <w:t>：全文阅读 + 质量评估，排除方法缺陷/样本不足/结论不可靠文献</w:t>
      </w:r>
    </w:p>
    <w:p w14:paraId="3ABEEE93">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纳入阶段</w:t>
      </w:r>
      <w:r>
        <w:rPr>
          <w:rFonts w:hint="eastAsia" w:ascii="宋体" w:hAnsi="宋体" w:eastAsia="宋体" w:cs="宋体"/>
          <w:sz w:val="21"/>
          <w:szCs w:val="21"/>
        </w:rPr>
        <w:t>：最终纳入知识基座，生成结构化验证报告</w:t>
      </w:r>
    </w:p>
    <w:p w14:paraId="235790E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文献验证智能体</w:t>
      </w:r>
      <w:r>
        <w:rPr>
          <w:rFonts w:hint="eastAsia" w:ascii="宋体" w:hAnsi="宋体" w:eastAsia="宋体" w:cs="宋体"/>
          <w:sz w:val="21"/>
          <w:szCs w:val="21"/>
        </w:rPr>
        <w:t>：构建专用的文献验证Agent，执行A→B→C→D→E五步验证流程。该Agent集成 Semantic Scholar API、arXiv API、Crossref API、CNKI 高级检索接口，并具备 WebSearch fallback 能力。对于每篇候选文献，Agent输出结构化的验证报告：{status: VERIFIED/NOT_FOUND/PARTIAL, doi: string, abstract: string, verification_method: string, citation_burst: boolean, burst_strength: float, notes: string}。</w:t>
      </w:r>
    </w:p>
    <w:p w14:paraId="1FB47084">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研究空白识别模块基于共被引网络和关键词共现分析，自动识别"高共现但研究不足"的主题组合并生成研究空白报告，为活动设计中的知识盲区填补提供方向指引。时间线自动构建模块从验证通过的文献中提取年份、作者与核心贡献，自动构建时间线并利用LLM的推理能力识别"起源期→奠基期→爆发期→分化期→当前期"五个发展阶段，同时检测时间悖论。摘要智能翻译模块对验证通过的英文文献自动调用翻译模块生成学术化的中文题目与摘要翻译，保留原文术语而不添加解读，确保跨语言知识传递的准确性。</w:t>
      </w:r>
    </w:p>
    <w:p w14:paraId="4CB04874">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二）</w:t>
      </w:r>
      <w:r>
        <w:rPr>
          <w:rFonts w:hint="eastAsia" w:ascii="宋体" w:hAnsi="宋体" w:eastAsia="宋体" w:cs="宋体"/>
          <w:sz w:val="21"/>
          <w:szCs w:val="21"/>
        </w:rPr>
        <w:t>基于九阶段多维分析的知识-活动映射</w:t>
      </w:r>
    </w:p>
    <w:p w14:paraId="1D4D865F">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模板模式提取与迁移是 AISTEC 实现</w:t>
      </w:r>
      <w:r>
        <w:rPr>
          <w:rFonts w:hint="eastAsia" w:ascii="宋体" w:hAnsi="宋体" w:eastAsia="宋体" w:cs="宋体"/>
          <w:sz w:val="21"/>
          <w:szCs w:val="21"/>
          <w:lang w:eastAsia="zh-CN"/>
        </w:rPr>
        <w:t>“</w:t>
      </w:r>
      <w:r>
        <w:rPr>
          <w:rFonts w:hint="eastAsia" w:ascii="宋体" w:hAnsi="宋体" w:eastAsia="宋体" w:cs="宋体"/>
          <w:sz w:val="21"/>
          <w:szCs w:val="21"/>
        </w:rPr>
        <w:t>从案例到范式</w:t>
      </w:r>
      <w:r>
        <w:rPr>
          <w:rFonts w:hint="eastAsia" w:ascii="宋体" w:hAnsi="宋体" w:eastAsia="宋体" w:cs="宋体"/>
          <w:sz w:val="21"/>
          <w:szCs w:val="21"/>
          <w:lang w:eastAsia="zh-CN"/>
        </w:rPr>
        <w:t>”</w:t>
      </w:r>
      <w:r>
        <w:rPr>
          <w:rFonts w:hint="eastAsia" w:ascii="宋体" w:hAnsi="宋体" w:eastAsia="宋体" w:cs="宋体"/>
          <w:sz w:val="21"/>
          <w:szCs w:val="21"/>
        </w:rPr>
        <w:t>知识沉淀的关键技术，其路径从原有的</w:t>
      </w:r>
      <w:r>
        <w:rPr>
          <w:rFonts w:hint="eastAsia" w:ascii="宋体" w:hAnsi="宋体" w:eastAsia="宋体" w:cs="宋体"/>
          <w:sz w:val="21"/>
          <w:szCs w:val="21"/>
          <w:lang w:eastAsia="zh-CN"/>
        </w:rPr>
        <w:t>“</w:t>
      </w:r>
      <w:r>
        <w:rPr>
          <w:rFonts w:hint="eastAsia" w:ascii="宋体" w:hAnsi="宋体" w:eastAsia="宋体" w:cs="宋体"/>
          <w:sz w:val="21"/>
          <w:szCs w:val="21"/>
        </w:rPr>
        <w:t>八维分析</w:t>
      </w:r>
      <w:r>
        <w:rPr>
          <w:rFonts w:hint="eastAsia" w:ascii="宋体" w:hAnsi="宋体" w:eastAsia="宋体" w:cs="宋体"/>
          <w:sz w:val="21"/>
          <w:szCs w:val="21"/>
          <w:lang w:eastAsia="zh-CN"/>
        </w:rPr>
        <w:t>”</w:t>
      </w:r>
      <w:r>
        <w:rPr>
          <w:rFonts w:hint="eastAsia" w:ascii="宋体" w:hAnsi="宋体" w:eastAsia="宋体" w:cs="宋体"/>
          <w:sz w:val="21"/>
          <w:szCs w:val="21"/>
        </w:rPr>
        <w:t>升级为九阶段多维质量分析工作流。Phase 1（输入接收与验证）支持批量导入 Markdown、Word、PDF 格式的历史活动方案，自动提取元数据（标题、年龄范围、时长、人数、学科领域、时间戳）并识别拒绝结构缺失的输入。Phase 2（个体结构分析）对每份活动方案进行八维度解析：结构维度（章节覆盖率、字段完整性）、教学维度（框架类型、阶段完整性、布鲁姆分类覆盖）、内容维度（知识树深度、常见误解覆盖、生活例子丰富度）、互动维度（互动类型谱与师生比适配）、评估维度（评估方法多样性与形成性检查点数量）、语言维度（正式度、人称、语气与Flesch-Kincaid可读性指数）、实践维度（材料可获取性、时间现实性、安全性与成本估算）以及UDL维度（三原则覆盖度与替代方案数量）。Phase 3（内容分析与语言评估）深度分析文本质量，包括可读性评估（句子长度与词汇复杂度）、认知负荷评估（新概念密度与信息递进梯度）以及概念密度评估（每百字核心概念数）。Phase 4（基准评分与跨机构对比）对照 NGSS、PISA、TIMSS 等国际/国内标准进行基准评分，若输入来自多个机构则进行横向对比，识别最佳实践机构与需要支持的机构。Phase 5（统计聚合与趋势分析）跨案例执行频率分析（高频章节、标准时长分布、常用互动类型组合）、相关性分析（框架类型与质量评分、UDL覆盖与教育有效性）、聚类分析（按特征聚类如</w:t>
      </w:r>
      <w:r>
        <w:rPr>
          <w:rFonts w:hint="eastAsia" w:ascii="宋体" w:hAnsi="宋体" w:eastAsia="宋体" w:cs="宋体"/>
          <w:sz w:val="21"/>
          <w:szCs w:val="21"/>
          <w:lang w:eastAsia="zh-CN"/>
        </w:rPr>
        <w:t>“</w:t>
      </w:r>
      <w:r>
        <w:rPr>
          <w:rFonts w:hint="eastAsia" w:ascii="宋体" w:hAnsi="宋体" w:eastAsia="宋体" w:cs="宋体"/>
          <w:sz w:val="21"/>
          <w:szCs w:val="21"/>
        </w:rPr>
        <w:t>高UDL低科学</w:t>
      </w:r>
      <w:r>
        <w:rPr>
          <w:rFonts w:hint="eastAsia" w:ascii="宋体" w:hAnsi="宋体" w:eastAsia="宋体" w:cs="宋体"/>
          <w:sz w:val="21"/>
          <w:szCs w:val="21"/>
          <w:lang w:eastAsia="zh-CN"/>
        </w:rPr>
        <w:t>”</w:t>
      </w:r>
      <w:r>
        <w:rPr>
          <w:rFonts w:hint="eastAsia" w:ascii="宋体" w:hAnsi="宋体" w:eastAsia="宋体" w:cs="宋体"/>
          <w:sz w:val="21"/>
          <w:szCs w:val="21"/>
        </w:rPr>
        <w:t>vs</w:t>
      </w:r>
      <w:r>
        <w:rPr>
          <w:rFonts w:hint="eastAsia" w:ascii="宋体" w:hAnsi="宋体" w:eastAsia="宋体" w:cs="宋体"/>
          <w:sz w:val="21"/>
          <w:szCs w:val="21"/>
          <w:lang w:eastAsia="zh-CN"/>
        </w:rPr>
        <w:t>“</w:t>
      </w:r>
      <w:r>
        <w:rPr>
          <w:rFonts w:hint="eastAsia" w:ascii="宋体" w:hAnsi="宋体" w:eastAsia="宋体" w:cs="宋体"/>
          <w:sz w:val="21"/>
          <w:szCs w:val="21"/>
        </w:rPr>
        <w:t>高科学低UDL</w:t>
      </w:r>
      <w:r>
        <w:rPr>
          <w:rFonts w:hint="eastAsia" w:ascii="宋体" w:hAnsi="宋体" w:eastAsia="宋体" w:cs="宋体"/>
          <w:sz w:val="21"/>
          <w:szCs w:val="21"/>
          <w:lang w:eastAsia="zh-CN"/>
        </w:rPr>
        <w:t>”</w:t>
      </w:r>
      <w:r>
        <w:rPr>
          <w:rFonts w:hint="eastAsia" w:ascii="宋体" w:hAnsi="宋体" w:eastAsia="宋体" w:cs="宋体"/>
          <w:sz w:val="21"/>
          <w:szCs w:val="21"/>
        </w:rPr>
        <w:t>）以及趋势分析（若时间戳可用则识别最佳实践涌现与过时模式）。Phase 6（知识盲区与公平性审计）涵盖知识盲区分析（按学科领域、年级段、活动类型统计覆盖率，识别"零覆盖"领域）、公平性审计（扫描文化响应性、性别平等、无障碍设计、社会经济包容性与语言多样性）以及成本效益分析（计算人均成本、时间效率、教育ROI，识别高价值与低价值活动）。Phase 7（模板生成增强版）基于聚合结果生成标准化模板，定义Required/Recommended/Optional章节、字段默认值与格式规则、质量约束（学习目标3-5个、框架阶段完整、UDL ≥ 2.0/3、检查点 ≥ 目标数）以及支持的框架列表（14种）。Phase 8（模板迁移与场景适配）在面临新场景时自动调整模板参数，生成场景专用变体（Museum-Optimized、School-Optimized、Outdoor-Optimized、Workshop-Optimized）。Phase 9（验证与交付）使用science-edu-activity技能测试模板，验证所有框架、UDL与评估检查点的可生产性。上述九阶段构成了从原始案例到标准化模板的完整知识萃取链路。</w:t>
      </w:r>
    </w:p>
    <w:p w14:paraId="65CEF466">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三）</w:t>
      </w:r>
      <w:r>
        <w:rPr>
          <w:rFonts w:hint="eastAsia" w:ascii="宋体" w:hAnsi="宋体" w:eastAsia="宋体" w:cs="宋体"/>
          <w:sz w:val="21"/>
          <w:szCs w:val="21"/>
        </w:rPr>
        <w:t>多智能体协作的质量保障系统</w:t>
      </w:r>
    </w:p>
    <w:p w14:paraId="32C1DDC1">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AISTEC 的质量保障层采用多智能体协作架构，而非单一LLM的独立推理模式。系统包含四个专业Agent与一个仲裁Agent，模拟人类团队中"学科专家+教育专家+安全员+场馆运营"的协作模式。科学验证Agent负责事实核查，调用研究脉络引擎验证科学原理的准确性，对每一条科学声明执行文献溯源。教育设计Agent负责 pedagogical 审查，确保活动符合认知发展规律（皮亚杰阶段匹配）、布鲁姆分类覆盖、选定框架的完整性（14种框架的阶段检查）、UDL三原则覆盖度（≥2.0/3）以及形成性评估检查点数量（≥学习目标数量）。安全审查Agent负责风险扫描，识别高风险材料、缺失的防护措施以及不安全的观众参与设计，对涉及化学、电、高温的活动执行强制安全复核。场景适配Agent负责场馆适配，检查展厅锚点、动线合理性、人流管理与设备依赖。上述四个Agent独立运行后，将审查结果提交至仲裁Agent，由后者综合判断是否通过、需修改或需重写。这一协作架构显著提升了输出质量，同时避免了单一模型的认知盲区。</w:t>
      </w:r>
    </w:p>
    <w:p w14:paraId="7802EAF8">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四）</w:t>
      </w:r>
      <w:r>
        <w:rPr>
          <w:rFonts w:hint="eastAsia" w:ascii="宋体" w:hAnsi="宋体" w:eastAsia="宋体" w:cs="宋体"/>
          <w:sz w:val="21"/>
          <w:szCs w:val="21"/>
        </w:rPr>
        <w:t>数字人与沉浸式交互集成接口</w:t>
      </w:r>
    </w:p>
    <w:p w14:paraId="32B38520">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AISTEC 设计了标准化的多模态输出接口，将文本活动方案自动转化为三种数字形态。数字人讲解脚本生成将辅导词转化为数字人可用的脚本格式，包含语音标注（语速、停顿、重音）、表情标注（微笑、惊讶、思考）、手势标注（指向展品、邀请操作）以及视线标注（看观众、看展品、看屏幕），使数字人具备接近人类辅导员的非语言表达能力。沉浸式体验脚本生成将活动流程转化为VR/MR体验脚本，包含空间标注（用户在展厅中的位置与朝向）、交互标注（手势/语音/控制器输入）、视觉标注（虚拟元素叠加位置）以及时序标注（体验节奏控制），支持Unity/Unreal引擎直接导入。智能天象节目脚本生成将天文主题活动转化为球幕/天象厅节目脚本，包含星座导航路径、天体运动时序、旁白与视觉同步点以及观众座位视角优化，可直接对接Digistar、Sky-Skan等专业渲染引擎。上述三种输出形态共享同一知识基座与活动逻辑，确保了跨模态内容的一致性与准确性。</w:t>
      </w:r>
    </w:p>
    <w:p w14:paraId="71CD53EA">
      <w:pPr>
        <w:keepNext w:val="0"/>
        <w:keepLines w:val="0"/>
        <w:pageBreakBefore w:val="0"/>
        <w:widowControl/>
        <w:numPr>
          <w:numId w:val="0"/>
        </w:numPr>
        <w:kinsoku/>
        <w:wordWrap/>
        <w:overflowPunct/>
        <w:topLinePunct w:val="0"/>
        <w:autoSpaceDE/>
        <w:autoSpaceDN/>
        <w:bidi w:val="0"/>
        <w:adjustRightInd/>
        <w:snapToGrid/>
        <w:spacing w:before="0" w:after="0" w:line="240" w:lineRule="auto"/>
        <w:ind w:leftChars="0"/>
        <w:jc w:val="left"/>
        <w:textAlignment w:val="baseline"/>
        <w:outlineLvl w:val="9"/>
        <w:rPr>
          <w:rFonts w:hint="eastAsia" w:ascii="宋体" w:hAnsi="宋体" w:eastAsia="宋体" w:cs="宋体"/>
          <w:sz w:val="21"/>
          <w:szCs w:val="21"/>
          <w:lang w:val="en-US" w:eastAsia="zh-CN"/>
        </w:rPr>
      </w:pPr>
    </w:p>
    <w:p w14:paraId="238523B5">
      <w:pPr>
        <w:pStyle w:val="3"/>
        <w:keepNext w:val="0"/>
        <w:keepLines w:val="0"/>
        <w:pageBreakBefore w:val="0"/>
        <w:widowControl/>
        <w:numPr>
          <w:numId w:val="0"/>
        </w:numPr>
        <w:kinsoku/>
        <w:wordWrap/>
        <w:overflowPunct/>
        <w:topLinePunct w:val="0"/>
        <w:autoSpaceDE/>
        <w:autoSpaceDN/>
        <w:bidi w:val="0"/>
        <w:adjustRightInd/>
        <w:snapToGrid/>
        <w:spacing w:before="0" w:after="0"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lang w:val="en-US" w:eastAsia="zh-CN"/>
        </w:rPr>
        <w:t>五、</w:t>
      </w:r>
      <w:r>
        <w:rPr>
          <w:rFonts w:hint="eastAsia" w:ascii="宋体" w:hAnsi="宋体" w:eastAsia="宋体" w:cs="宋体"/>
          <w:sz w:val="21"/>
          <w:szCs w:val="21"/>
        </w:rPr>
        <w:t>应用场景与实践案例</w:t>
      </w:r>
    </w:p>
    <w:p w14:paraId="7679EE97">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lang w:eastAsia="zh-CN"/>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一）</w:t>
      </w:r>
      <w:r>
        <w:rPr>
          <w:rFonts w:hint="eastAsia" w:ascii="宋体" w:hAnsi="宋体" w:eastAsia="宋体" w:cs="宋体"/>
          <w:sz w:val="21"/>
          <w:szCs w:val="21"/>
        </w:rPr>
        <w:t>智能天象制作：从</w:t>
      </w:r>
      <w:r>
        <w:rPr>
          <w:rFonts w:hint="eastAsia" w:ascii="宋体" w:hAnsi="宋体" w:eastAsia="宋体" w:cs="宋体"/>
          <w:sz w:val="21"/>
          <w:szCs w:val="21"/>
          <w:lang w:eastAsia="zh-CN"/>
        </w:rPr>
        <w:t>“</w:t>
      </w:r>
      <w:r>
        <w:rPr>
          <w:rFonts w:hint="eastAsia" w:ascii="宋体" w:hAnsi="宋体" w:eastAsia="宋体" w:cs="宋体"/>
          <w:sz w:val="21"/>
          <w:szCs w:val="21"/>
        </w:rPr>
        <w:t>人工逐帧</w:t>
      </w:r>
      <w:r>
        <w:rPr>
          <w:rFonts w:hint="eastAsia" w:ascii="宋体" w:hAnsi="宋体" w:eastAsia="宋体" w:cs="宋体"/>
          <w:sz w:val="21"/>
          <w:szCs w:val="21"/>
          <w:lang w:eastAsia="zh-CN"/>
        </w:rPr>
        <w:t>”</w:t>
      </w:r>
      <w:r>
        <w:rPr>
          <w:rFonts w:hint="eastAsia" w:ascii="宋体" w:hAnsi="宋体" w:eastAsia="宋体" w:cs="宋体"/>
          <w:sz w:val="21"/>
          <w:szCs w:val="21"/>
        </w:rPr>
        <w:t>到</w:t>
      </w:r>
      <w:r>
        <w:rPr>
          <w:rFonts w:hint="eastAsia" w:ascii="宋体" w:hAnsi="宋体" w:eastAsia="宋体" w:cs="宋体"/>
          <w:sz w:val="21"/>
          <w:szCs w:val="21"/>
          <w:lang w:eastAsia="zh-CN"/>
        </w:rPr>
        <w:t>“</w:t>
      </w:r>
      <w:r>
        <w:rPr>
          <w:rFonts w:hint="eastAsia" w:ascii="宋体" w:hAnsi="宋体" w:eastAsia="宋体" w:cs="宋体"/>
          <w:sz w:val="21"/>
          <w:szCs w:val="21"/>
        </w:rPr>
        <w:t>知识驱动生成</w:t>
      </w:r>
      <w:r>
        <w:rPr>
          <w:rFonts w:hint="eastAsia" w:ascii="宋体" w:hAnsi="宋体" w:eastAsia="宋体" w:cs="宋体"/>
          <w:sz w:val="21"/>
          <w:szCs w:val="21"/>
          <w:lang w:eastAsia="zh-CN"/>
        </w:rPr>
        <w:t>”</w:t>
      </w:r>
    </w:p>
    <w:p w14:paraId="1B174AD3">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传统天象节目制作依赖专业人员手动编写脚本、逐帧调整视觉效果，制作周期长（一部30分钟节目需3-6个月）、成本高、更新慢。基于AISTEC的智能天象制作流程涵盖从输入到输出的完整链路：输入端指定科学主题（如</w:t>
      </w:r>
      <w:r>
        <w:rPr>
          <w:rFonts w:hint="eastAsia" w:ascii="宋体" w:hAnsi="宋体" w:eastAsia="宋体" w:cs="宋体"/>
          <w:sz w:val="21"/>
          <w:szCs w:val="21"/>
          <w:lang w:eastAsia="zh-CN"/>
        </w:rPr>
        <w:t>“</w:t>
      </w:r>
      <w:r>
        <w:rPr>
          <w:rFonts w:hint="eastAsia" w:ascii="宋体" w:hAnsi="宋体" w:eastAsia="宋体" w:cs="宋体"/>
          <w:sz w:val="21"/>
          <w:szCs w:val="21"/>
        </w:rPr>
        <w:t>黑洞吸积盘</w:t>
      </w:r>
      <w:r>
        <w:rPr>
          <w:rFonts w:hint="eastAsia" w:ascii="宋体" w:hAnsi="宋体" w:eastAsia="宋体" w:cs="宋体"/>
          <w:sz w:val="21"/>
          <w:szCs w:val="21"/>
          <w:lang w:eastAsia="zh-CN"/>
        </w:rPr>
        <w:t>”</w:t>
      </w:r>
      <w:r>
        <w:rPr>
          <w:rFonts w:hint="eastAsia" w:ascii="宋体" w:hAnsi="宋体" w:eastAsia="宋体" w:cs="宋体"/>
          <w:sz w:val="21"/>
          <w:szCs w:val="21"/>
        </w:rPr>
        <w:t>）、目标受众（如</w:t>
      </w:r>
      <w:r>
        <w:rPr>
          <w:rFonts w:hint="eastAsia" w:ascii="宋体" w:hAnsi="宋体" w:eastAsia="宋体" w:cs="宋体"/>
          <w:sz w:val="21"/>
          <w:szCs w:val="21"/>
          <w:lang w:eastAsia="zh-CN"/>
        </w:rPr>
        <w:t>“</w:t>
      </w:r>
      <w:r>
        <w:rPr>
          <w:rFonts w:hint="eastAsia" w:ascii="宋体" w:hAnsi="宋体" w:eastAsia="宋体" w:cs="宋体"/>
          <w:sz w:val="21"/>
          <w:szCs w:val="21"/>
        </w:rPr>
        <w:t>高中生</w:t>
      </w:r>
      <w:r>
        <w:rPr>
          <w:rFonts w:hint="eastAsia" w:ascii="宋体" w:hAnsi="宋体" w:eastAsia="宋体" w:cs="宋体"/>
          <w:sz w:val="21"/>
          <w:szCs w:val="21"/>
          <w:lang w:eastAsia="zh-CN"/>
        </w:rPr>
        <w:t>”</w:t>
      </w:r>
      <w:r>
        <w:rPr>
          <w:rFonts w:hint="eastAsia" w:ascii="宋体" w:hAnsi="宋体" w:eastAsia="宋体" w:cs="宋体"/>
          <w:sz w:val="21"/>
          <w:szCs w:val="21"/>
        </w:rPr>
        <w:t>）与节目时长（如</w:t>
      </w:r>
      <w:r>
        <w:rPr>
          <w:rFonts w:hint="eastAsia" w:ascii="宋体" w:hAnsi="宋体" w:eastAsia="宋体" w:cs="宋体"/>
          <w:sz w:val="21"/>
          <w:szCs w:val="21"/>
          <w:lang w:eastAsia="zh-CN"/>
        </w:rPr>
        <w:t>“</w:t>
      </w:r>
      <w:r>
        <w:rPr>
          <w:rFonts w:hint="eastAsia" w:ascii="宋体" w:hAnsi="宋体" w:eastAsia="宋体" w:cs="宋体"/>
          <w:sz w:val="21"/>
          <w:szCs w:val="21"/>
        </w:rPr>
        <w:t>15分钟</w:t>
      </w:r>
      <w:r>
        <w:rPr>
          <w:rFonts w:hint="eastAsia" w:ascii="宋体" w:hAnsi="宋体" w:eastAsia="宋体" w:cs="宋体"/>
          <w:sz w:val="21"/>
          <w:szCs w:val="21"/>
          <w:lang w:eastAsia="zh-CN"/>
        </w:rPr>
        <w:t>”</w:t>
      </w:r>
      <w:r>
        <w:rPr>
          <w:rFonts w:hint="eastAsia" w:ascii="宋体" w:hAnsi="宋体" w:eastAsia="宋体" w:cs="宋体"/>
          <w:sz w:val="21"/>
          <w:szCs w:val="21"/>
        </w:rPr>
        <w:t>）；知识验证层自动检索黑洞吸积盘的研究脉络，验证关键科学事实（吸积盘温度分布公式、喷流形成机制、事件视界定义），并标记[简化模型]和[教学类比]；内容生成层通过5-Stage解构黑洞概念，设计</w:t>
      </w:r>
      <w:r>
        <w:rPr>
          <w:rFonts w:hint="eastAsia" w:ascii="宋体" w:hAnsi="宋体" w:eastAsia="宋体" w:cs="宋体"/>
          <w:sz w:val="21"/>
          <w:szCs w:val="21"/>
          <w:lang w:eastAsia="zh-CN"/>
        </w:rPr>
        <w:t>“</w:t>
      </w:r>
      <w:r>
        <w:rPr>
          <w:rFonts w:hint="eastAsia" w:ascii="宋体" w:hAnsi="宋体" w:eastAsia="宋体" w:cs="宋体"/>
          <w:sz w:val="21"/>
          <w:szCs w:val="21"/>
        </w:rPr>
        <w:t>从恒星死亡到时空弯曲</w:t>
      </w:r>
      <w:r>
        <w:rPr>
          <w:rFonts w:hint="eastAsia" w:ascii="宋体" w:hAnsi="宋体" w:eastAsia="宋体" w:cs="宋体"/>
          <w:sz w:val="21"/>
          <w:szCs w:val="21"/>
          <w:lang w:eastAsia="zh-CN"/>
        </w:rPr>
        <w:t>”</w:t>
      </w:r>
      <w:r>
        <w:rPr>
          <w:rFonts w:hint="eastAsia" w:ascii="宋体" w:hAnsi="宋体" w:eastAsia="宋体" w:cs="宋体"/>
          <w:sz w:val="21"/>
          <w:szCs w:val="21"/>
        </w:rPr>
        <w:t>的叙事线，生成12章节节目脚本（含球幕视角标注、旁白词、视觉触发点）；场景适配层根据天象厅球幕分辨率（如8K×8K）、投影机位分布与观众最佳视角区域优化星空导航路径和天体运动轨迹；质量保障层由科学验证Agent确认视觉呈现不违背物理定律（如吸积盘的红移/蓝移效应方向正确），由教育设计Agent确认认知负荷适中（15分钟内概念递进合理）。最终输出可直接导入天象渲染引擎（如Digistar、Sky-Skan）的节目脚本包，包含时间轴文件、旁白音频脚本、视觉触发器配置文件以及设备故障时的备选方案（切换为静态展示）。</w:t>
      </w:r>
    </w:p>
    <w:p w14:paraId="38F91A8A">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二）</w:t>
      </w:r>
      <w:r>
        <w:rPr>
          <w:rFonts w:hint="eastAsia" w:ascii="宋体" w:hAnsi="宋体" w:eastAsia="宋体" w:cs="宋体"/>
          <w:sz w:val="21"/>
          <w:szCs w:val="21"/>
        </w:rPr>
        <w:t>沉浸式天文数字内容：构建</w:t>
      </w:r>
      <w:r>
        <w:rPr>
          <w:rFonts w:hint="eastAsia" w:ascii="宋体" w:hAnsi="宋体" w:eastAsia="宋体" w:cs="宋体"/>
          <w:sz w:val="21"/>
          <w:szCs w:val="21"/>
          <w:lang w:eastAsia="zh-CN"/>
        </w:rPr>
        <w:t>“</w:t>
      </w:r>
      <w:r>
        <w:rPr>
          <w:rFonts w:hint="eastAsia" w:ascii="宋体" w:hAnsi="宋体" w:eastAsia="宋体" w:cs="宋体"/>
          <w:sz w:val="21"/>
          <w:szCs w:val="21"/>
        </w:rPr>
        <w:t>可行走</w:t>
      </w:r>
      <w:r>
        <w:rPr>
          <w:rFonts w:hint="eastAsia" w:ascii="宋体" w:hAnsi="宋体" w:eastAsia="宋体" w:cs="宋体"/>
          <w:sz w:val="21"/>
          <w:szCs w:val="21"/>
          <w:lang w:eastAsia="zh-CN"/>
        </w:rPr>
        <w:t>”</w:t>
      </w:r>
      <w:r>
        <w:rPr>
          <w:rFonts w:hint="eastAsia" w:ascii="宋体" w:hAnsi="宋体" w:eastAsia="宋体" w:cs="宋体"/>
          <w:sz w:val="21"/>
          <w:szCs w:val="21"/>
        </w:rPr>
        <w:t>的宇宙</w:t>
      </w:r>
    </w:p>
    <w:p w14:paraId="6BA9E926">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基于AISTEC的沉浸式内容生成能力，可快速构建MR/VR天文体验。以</w:t>
      </w:r>
      <w:r>
        <w:rPr>
          <w:rFonts w:hint="eastAsia" w:ascii="宋体" w:hAnsi="宋体" w:eastAsia="宋体" w:cs="宋体"/>
          <w:sz w:val="21"/>
          <w:szCs w:val="21"/>
          <w:lang w:eastAsia="zh-CN"/>
        </w:rPr>
        <w:t>“</w:t>
      </w:r>
      <w:r>
        <w:rPr>
          <w:rFonts w:hint="eastAsia" w:ascii="宋体" w:hAnsi="宋体" w:eastAsia="宋体" w:cs="宋体"/>
          <w:sz w:val="21"/>
          <w:szCs w:val="21"/>
        </w:rPr>
        <w:t>漫步太阳系</w:t>
      </w:r>
      <w:r>
        <w:rPr>
          <w:rFonts w:hint="eastAsia" w:ascii="宋体" w:hAnsi="宋体" w:eastAsia="宋体" w:cs="宋体"/>
          <w:sz w:val="21"/>
          <w:szCs w:val="21"/>
          <w:lang w:eastAsia="zh-CN"/>
        </w:rPr>
        <w:t>”</w:t>
      </w:r>
      <w:r>
        <w:rPr>
          <w:rFonts w:hint="eastAsia" w:ascii="宋体" w:hAnsi="宋体" w:eastAsia="宋体" w:cs="宋体"/>
          <w:sz w:val="21"/>
          <w:szCs w:val="21"/>
        </w:rPr>
        <w:t>MR体验为例，输入端设定</w:t>
      </w:r>
      <w:r>
        <w:rPr>
          <w:rFonts w:hint="eastAsia" w:ascii="宋体" w:hAnsi="宋体" w:eastAsia="宋体" w:cs="宋体"/>
          <w:sz w:val="21"/>
          <w:szCs w:val="21"/>
          <w:lang w:eastAsia="zh-CN"/>
        </w:rPr>
        <w:t>“</w:t>
      </w:r>
      <w:r>
        <w:rPr>
          <w:rFonts w:hint="eastAsia" w:ascii="宋体" w:hAnsi="宋体" w:eastAsia="宋体" w:cs="宋体"/>
          <w:sz w:val="21"/>
          <w:szCs w:val="21"/>
        </w:rPr>
        <w:t>设计一个20分钟、适合家庭观众（亲子组合）的MR太阳系探索体验</w:t>
      </w:r>
      <w:r>
        <w:rPr>
          <w:rFonts w:hint="eastAsia" w:ascii="宋体" w:hAnsi="宋体" w:eastAsia="宋体" w:cs="宋体"/>
          <w:sz w:val="21"/>
          <w:szCs w:val="21"/>
          <w:lang w:eastAsia="zh-CN"/>
        </w:rPr>
        <w:t>”</w:t>
      </w:r>
      <w:r>
        <w:rPr>
          <w:rFonts w:hint="eastAsia" w:ascii="宋体" w:hAnsi="宋体" w:eastAsia="宋体" w:cs="宋体"/>
          <w:sz w:val="21"/>
          <w:szCs w:val="21"/>
        </w:rPr>
        <w:t>；知识验证层验证行星大小比例、轨道周期、卫星数量等事实数据；内容生成层设计</w:t>
      </w:r>
      <w:r>
        <w:rPr>
          <w:rFonts w:hint="eastAsia" w:ascii="宋体" w:hAnsi="宋体" w:eastAsia="宋体" w:cs="宋体"/>
          <w:sz w:val="21"/>
          <w:szCs w:val="21"/>
          <w:lang w:eastAsia="zh-CN"/>
        </w:rPr>
        <w:t>“</w:t>
      </w:r>
      <w:r>
        <w:rPr>
          <w:rFonts w:hint="eastAsia" w:ascii="宋体" w:hAnsi="宋体" w:eastAsia="宋体" w:cs="宋体"/>
          <w:sz w:val="21"/>
          <w:szCs w:val="21"/>
        </w:rPr>
        <w:t>从地球出发→火星着陆→木星大红斑→土星环漫步→海王星风暴</w:t>
      </w:r>
      <w:r>
        <w:rPr>
          <w:rFonts w:hint="eastAsia" w:ascii="宋体" w:hAnsi="宋体" w:eastAsia="宋体" w:cs="宋体"/>
          <w:sz w:val="21"/>
          <w:szCs w:val="21"/>
          <w:lang w:eastAsia="zh-CN"/>
        </w:rPr>
        <w:t>”</w:t>
      </w:r>
      <w:r>
        <w:rPr>
          <w:rFonts w:hint="eastAsia" w:ascii="宋体" w:hAnsi="宋体" w:eastAsia="宋体" w:cs="宋体"/>
          <w:sz w:val="21"/>
          <w:szCs w:val="21"/>
        </w:rPr>
        <w:t>的叙事线，每个站点包含科学知识点（如火星尘暴机制）、互动任务（如收集岩石样本）以及亲子协作环节（如家长读信息、孩子操作虚拟工具）；场景适配层生成MR空间锚点（用户站在展厅哪个位置时触发哪颗行星的虚拟模型）、手势交互指令（捏合缩放行星、旋转查看地貌）以及安全边界（虚拟内容不超出展厅物理边界以防止碰撞）；最终输出Unity/Unreal引擎可直接导入的场景描述文件（JSON格式，包含对象位置、交互逻辑、音频触发条件）。</w:t>
      </w:r>
    </w:p>
    <w:p w14:paraId="3A8B1AE7">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三）</w:t>
      </w:r>
      <w:r>
        <w:rPr>
          <w:rFonts w:hint="eastAsia" w:ascii="宋体" w:hAnsi="宋体" w:eastAsia="宋体" w:cs="宋体"/>
          <w:sz w:val="21"/>
          <w:szCs w:val="21"/>
        </w:rPr>
        <w:t>数字辅导员：7×24小时的智能科普助手</w:t>
      </w:r>
    </w:p>
    <w:p w14:paraId="2551F60B">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AISTEC驱动的数字辅导员系统实现了从</w:t>
      </w:r>
      <w:r>
        <w:rPr>
          <w:rFonts w:hint="eastAsia" w:ascii="宋体" w:hAnsi="宋体" w:eastAsia="宋体" w:cs="宋体"/>
          <w:sz w:val="21"/>
          <w:szCs w:val="21"/>
          <w:lang w:eastAsia="zh-CN"/>
        </w:rPr>
        <w:t>“</w:t>
      </w:r>
      <w:r>
        <w:rPr>
          <w:rFonts w:hint="eastAsia" w:ascii="宋体" w:hAnsi="宋体" w:eastAsia="宋体" w:cs="宋体"/>
          <w:sz w:val="21"/>
          <w:szCs w:val="21"/>
        </w:rPr>
        <w:t>预置问答</w:t>
      </w:r>
      <w:r>
        <w:rPr>
          <w:rFonts w:hint="eastAsia" w:ascii="宋体" w:hAnsi="宋体" w:eastAsia="宋体" w:cs="宋体"/>
          <w:sz w:val="21"/>
          <w:szCs w:val="21"/>
          <w:lang w:eastAsia="zh-CN"/>
        </w:rPr>
        <w:t>”</w:t>
      </w:r>
      <w:r>
        <w:rPr>
          <w:rFonts w:hint="eastAsia" w:ascii="宋体" w:hAnsi="宋体" w:eastAsia="宋体" w:cs="宋体"/>
          <w:sz w:val="21"/>
          <w:szCs w:val="21"/>
        </w:rPr>
        <w:t>到</w:t>
      </w:r>
      <w:r>
        <w:rPr>
          <w:rFonts w:hint="eastAsia" w:ascii="宋体" w:hAnsi="宋体" w:eastAsia="宋体" w:cs="宋体"/>
          <w:sz w:val="21"/>
          <w:szCs w:val="21"/>
          <w:lang w:eastAsia="zh-CN"/>
        </w:rPr>
        <w:t>“</w:t>
      </w:r>
      <w:r>
        <w:rPr>
          <w:rFonts w:hint="eastAsia" w:ascii="宋体" w:hAnsi="宋体" w:eastAsia="宋体" w:cs="宋体"/>
          <w:sz w:val="21"/>
          <w:szCs w:val="21"/>
        </w:rPr>
        <w:t>实时智能创作</w:t>
      </w:r>
      <w:r>
        <w:rPr>
          <w:rFonts w:hint="eastAsia" w:ascii="宋体" w:hAnsi="宋体" w:eastAsia="宋体" w:cs="宋体"/>
          <w:sz w:val="21"/>
          <w:szCs w:val="21"/>
          <w:lang w:eastAsia="zh-CN"/>
        </w:rPr>
        <w:t>”</w:t>
      </w:r>
      <w:r>
        <w:rPr>
          <w:rFonts w:hint="eastAsia" w:ascii="宋体" w:hAnsi="宋体" w:eastAsia="宋体" w:cs="宋体"/>
          <w:sz w:val="21"/>
          <w:szCs w:val="21"/>
        </w:rPr>
        <w:t>的跨越，其核心功能涵盖四个层面。实时辅导词生成功能使观众站在展品前时，数字人自动调用AISTEC生成针对该展品、该观众年龄段的个性化讲解词，替代传统的预录视频播放模式。互动问答创作功能使数字人能够在观众提出意外问题（如</w:t>
      </w:r>
      <w:r>
        <w:rPr>
          <w:rFonts w:hint="eastAsia" w:ascii="宋体" w:hAnsi="宋体" w:eastAsia="宋体" w:cs="宋体"/>
          <w:sz w:val="21"/>
          <w:szCs w:val="21"/>
          <w:lang w:eastAsia="zh-CN"/>
        </w:rPr>
        <w:t>“</w:t>
      </w:r>
      <w:r>
        <w:rPr>
          <w:rFonts w:hint="eastAsia" w:ascii="宋体" w:hAnsi="宋体" w:eastAsia="宋体" w:cs="宋体"/>
          <w:sz w:val="21"/>
          <w:szCs w:val="21"/>
        </w:rPr>
        <w:t>这个展品跟黑洞有什么关系？</w:t>
      </w:r>
      <w:r>
        <w:rPr>
          <w:rFonts w:hint="eastAsia" w:ascii="宋体" w:hAnsi="宋体" w:eastAsia="宋体" w:cs="宋体"/>
          <w:sz w:val="21"/>
          <w:szCs w:val="21"/>
          <w:lang w:eastAsia="zh-CN"/>
        </w:rPr>
        <w:t>”</w:t>
      </w:r>
      <w:r>
        <w:rPr>
          <w:rFonts w:hint="eastAsia" w:ascii="宋体" w:hAnsi="宋体" w:eastAsia="宋体" w:cs="宋体"/>
          <w:sz w:val="21"/>
          <w:szCs w:val="21"/>
        </w:rPr>
        <w:t>）时实时生成关联讲解，而非返回</w:t>
      </w:r>
      <w:r>
        <w:rPr>
          <w:rFonts w:hint="eastAsia" w:ascii="宋体" w:hAnsi="宋体" w:eastAsia="宋体" w:cs="宋体"/>
          <w:sz w:val="21"/>
          <w:szCs w:val="21"/>
          <w:lang w:eastAsia="zh-CN"/>
        </w:rPr>
        <w:t>“</w:t>
      </w:r>
      <w:r>
        <w:rPr>
          <w:rFonts w:hint="eastAsia" w:ascii="宋体" w:hAnsi="宋体" w:eastAsia="宋体" w:cs="宋体"/>
          <w:sz w:val="21"/>
          <w:szCs w:val="21"/>
        </w:rPr>
        <w:t>问题不在知识库中</w:t>
      </w:r>
      <w:r>
        <w:rPr>
          <w:rFonts w:hint="eastAsia" w:ascii="宋体" w:hAnsi="宋体" w:eastAsia="宋体" w:cs="宋体"/>
          <w:sz w:val="21"/>
          <w:szCs w:val="21"/>
          <w:lang w:eastAsia="zh-CN"/>
        </w:rPr>
        <w:t>”</w:t>
      </w:r>
      <w:r>
        <w:rPr>
          <w:rFonts w:hint="eastAsia" w:ascii="宋体" w:hAnsi="宋体" w:eastAsia="宋体" w:cs="宋体"/>
          <w:sz w:val="21"/>
          <w:szCs w:val="21"/>
        </w:rPr>
        <w:t>的标准回复。多语言即时切换功能利用AISTEC的多语言输出能力，使数字人可即时将讲解内容切换为英语、日语、手语等多种形态，满足国际化场馆的多语言服务需求。训练模拟器功能使新入职辅导员可与数字人进行</w:t>
      </w:r>
      <w:r>
        <w:rPr>
          <w:rFonts w:hint="eastAsia" w:ascii="宋体" w:hAnsi="宋体" w:eastAsia="宋体" w:cs="宋体"/>
          <w:sz w:val="21"/>
          <w:szCs w:val="21"/>
          <w:lang w:eastAsia="zh-CN"/>
        </w:rPr>
        <w:t>“</w:t>
      </w:r>
      <w:r>
        <w:rPr>
          <w:rFonts w:hint="eastAsia" w:ascii="宋体" w:hAnsi="宋体" w:eastAsia="宋体" w:cs="宋体"/>
          <w:sz w:val="21"/>
          <w:szCs w:val="21"/>
        </w:rPr>
        <w:t>模拟讲解</w:t>
      </w:r>
      <w:r>
        <w:rPr>
          <w:rFonts w:hint="eastAsia" w:ascii="宋体" w:hAnsi="宋体" w:eastAsia="宋体" w:cs="宋体"/>
          <w:sz w:val="21"/>
          <w:szCs w:val="21"/>
          <w:lang w:eastAsia="zh-CN"/>
        </w:rPr>
        <w:t>”</w:t>
      </w:r>
      <w:r>
        <w:rPr>
          <w:rFonts w:hint="eastAsia" w:ascii="宋体" w:hAnsi="宋体" w:eastAsia="宋体" w:cs="宋体"/>
          <w:sz w:val="21"/>
          <w:szCs w:val="21"/>
        </w:rPr>
        <w:t>练习，数字人基于AISTEC的评估模式给出实时评分和改进建议，从而将传统3个月的培训周期压缩至2周。</w:t>
      </w:r>
    </w:p>
    <w:p w14:paraId="1FF8E695">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四）</w:t>
      </w:r>
      <w:r>
        <w:rPr>
          <w:rFonts w:hint="eastAsia" w:ascii="宋体" w:hAnsi="宋体" w:eastAsia="宋体" w:cs="宋体"/>
          <w:sz w:val="21"/>
          <w:szCs w:val="21"/>
        </w:rPr>
        <w:t>PBL项目式学习：校园雨水花园设计</w:t>
      </w:r>
    </w:p>
    <w:p w14:paraId="71ED0953">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本案例展示AISTEC的框架智能选择引擎如何自动匹配PBL框架并生成完整的项目式学习方案。输入端设定</w:t>
      </w:r>
      <w:r>
        <w:rPr>
          <w:rFonts w:hint="eastAsia" w:ascii="宋体" w:hAnsi="宋体" w:eastAsia="宋体" w:cs="宋体"/>
          <w:sz w:val="21"/>
          <w:szCs w:val="21"/>
          <w:lang w:eastAsia="zh-CN"/>
        </w:rPr>
        <w:t>“</w:t>
      </w:r>
      <w:r>
        <w:rPr>
          <w:rFonts w:hint="eastAsia" w:ascii="宋体" w:hAnsi="宋体" w:eastAsia="宋体" w:cs="宋体"/>
          <w:sz w:val="21"/>
          <w:szCs w:val="21"/>
        </w:rPr>
        <w:t>为初中生设计一个关于海绵城市的PBL项目，需要跨学科整合，产出可落地的校园设计方案</w:t>
      </w:r>
      <w:r>
        <w:rPr>
          <w:rFonts w:hint="eastAsia" w:ascii="宋体" w:hAnsi="宋体" w:eastAsia="宋体" w:cs="宋体"/>
          <w:sz w:val="21"/>
          <w:szCs w:val="21"/>
          <w:lang w:eastAsia="zh-CN"/>
        </w:rPr>
        <w:t>”</w:t>
      </w:r>
      <w:r>
        <w:rPr>
          <w:rFonts w:hint="eastAsia" w:ascii="宋体" w:hAnsi="宋体" w:eastAsia="宋体" w:cs="宋体"/>
          <w:sz w:val="21"/>
          <w:szCs w:val="21"/>
        </w:rPr>
        <w:t>；框架选择阶段系统识别</w:t>
      </w:r>
      <w:r>
        <w:rPr>
          <w:rFonts w:hint="eastAsia" w:ascii="宋体" w:hAnsi="宋体" w:eastAsia="宋体" w:cs="宋体"/>
          <w:sz w:val="21"/>
          <w:szCs w:val="21"/>
          <w:lang w:eastAsia="zh-CN"/>
        </w:rPr>
        <w:t>“</w:t>
      </w:r>
      <w:r>
        <w:rPr>
          <w:rFonts w:hint="eastAsia" w:ascii="宋体" w:hAnsi="宋体" w:eastAsia="宋体" w:cs="宋体"/>
          <w:sz w:val="21"/>
          <w:szCs w:val="21"/>
        </w:rPr>
        <w:t>真实世界问题解决+跨学科+可落地产出</w:t>
      </w:r>
      <w:r>
        <w:rPr>
          <w:rFonts w:hint="eastAsia" w:ascii="宋体" w:hAnsi="宋体" w:eastAsia="宋体" w:cs="宋体"/>
          <w:sz w:val="21"/>
          <w:szCs w:val="21"/>
          <w:lang w:eastAsia="zh-CN"/>
        </w:rPr>
        <w:t>”</w:t>
      </w:r>
      <w:r>
        <w:rPr>
          <w:rFonts w:hint="eastAsia" w:ascii="宋体" w:hAnsi="宋体" w:eastAsia="宋体" w:cs="宋体"/>
          <w:sz w:val="21"/>
          <w:szCs w:val="21"/>
        </w:rPr>
        <w:t>特征后匹配PBL框架，输出</w:t>
      </w:r>
      <w:r>
        <w:rPr>
          <w:rFonts w:hint="eastAsia" w:ascii="宋体" w:hAnsi="宋体" w:eastAsia="宋体" w:cs="宋体"/>
          <w:sz w:val="21"/>
          <w:szCs w:val="21"/>
          <w:lang w:eastAsia="zh-CN"/>
        </w:rPr>
        <w:t>“</w:t>
      </w:r>
      <w:r>
        <w:rPr>
          <w:rFonts w:hint="eastAsia" w:ascii="宋体" w:hAnsi="宋体" w:eastAsia="宋体" w:cs="宋体"/>
          <w:sz w:val="21"/>
          <w:szCs w:val="21"/>
        </w:rPr>
        <w:t>本活动采用PBL框架，因为涉及真实世界问题（校园雨水管理），需要跨学科整合（STEM），产出可落地的设计方案</w:t>
      </w:r>
      <w:r>
        <w:rPr>
          <w:rFonts w:hint="eastAsia" w:ascii="宋体" w:hAnsi="宋体" w:eastAsia="宋体" w:cs="宋体"/>
          <w:sz w:val="21"/>
          <w:szCs w:val="21"/>
          <w:lang w:eastAsia="zh-CN"/>
        </w:rPr>
        <w:t>”</w:t>
      </w:r>
      <w:r>
        <w:rPr>
          <w:rFonts w:hint="eastAsia" w:ascii="宋体" w:hAnsi="宋体" w:eastAsia="宋体" w:cs="宋体"/>
          <w:sz w:val="21"/>
          <w:szCs w:val="21"/>
        </w:rPr>
        <w:t>；知识验证层验证水循环原理、土壤渗透性数据、本土耐涝植物品种与海绵城市政策依据。</w:t>
      </w:r>
    </w:p>
    <w:p w14:paraId="49C0A94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内容生成层</w:t>
      </w:r>
      <w:r>
        <w:rPr>
          <w:rFonts w:hint="eastAsia" w:ascii="宋体" w:hAnsi="宋体" w:eastAsia="宋体" w:cs="宋体"/>
          <w:sz w:val="21"/>
          <w:szCs w:val="21"/>
        </w:rPr>
        <w:t>：</w:t>
      </w:r>
    </w:p>
    <w:p w14:paraId="40F0C0C1">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驱动问题</w:t>
      </w:r>
      <w:r>
        <w:rPr>
          <w:rFonts w:hint="eastAsia" w:ascii="宋体" w:hAnsi="宋体" w:eastAsia="宋体" w:cs="宋体"/>
          <w:sz w:val="21"/>
          <w:szCs w:val="21"/>
        </w:rPr>
        <w:t>：学校的操场在暴雨后经常积水，如何设计一个既能收集雨水又能美化校园的雨水花园？</w:t>
      </w:r>
    </w:p>
    <w:p w14:paraId="3078C573">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探究阶段</w:t>
      </w:r>
      <w:r>
        <w:rPr>
          <w:rFonts w:hint="eastAsia" w:ascii="宋体" w:hAnsi="宋体" w:eastAsia="宋体" w:cs="宋体"/>
          <w:sz w:val="21"/>
          <w:szCs w:val="21"/>
        </w:rPr>
        <w:t>：学生分组测量校园不同区域土壤渗透性，调查本地耐涝植物，计算所需花园面积</w:t>
      </w:r>
    </w:p>
    <w:p w14:paraId="4906A57F">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设计阶段</w:t>
      </w:r>
      <w:r>
        <w:rPr>
          <w:rFonts w:hint="eastAsia" w:ascii="宋体" w:hAnsi="宋体" w:eastAsia="宋体" w:cs="宋体"/>
          <w:sz w:val="21"/>
          <w:szCs w:val="21"/>
        </w:rPr>
        <w:t>：绘制设计图（含土壤分层、植物配置、排水结构），制作比例模型，编制成本预算</w:t>
      </w:r>
    </w:p>
    <w:p w14:paraId="17C4A371">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展示阶段</w:t>
      </w:r>
      <w:r>
        <w:rPr>
          <w:rFonts w:hint="eastAsia" w:ascii="宋体" w:hAnsi="宋体" w:eastAsia="宋体" w:cs="宋体"/>
          <w:sz w:val="21"/>
          <w:szCs w:val="21"/>
        </w:rPr>
        <w:t>：各组向</w:t>
      </w:r>
      <w:r>
        <w:rPr>
          <w:rFonts w:hint="eastAsia" w:ascii="宋体" w:hAnsi="宋体" w:eastAsia="宋体" w:cs="宋体"/>
          <w:sz w:val="21"/>
          <w:szCs w:val="21"/>
          <w:lang w:eastAsia="zh-CN"/>
        </w:rPr>
        <w:t>“</w:t>
      </w:r>
      <w:r>
        <w:rPr>
          <w:rFonts w:hint="eastAsia" w:ascii="宋体" w:hAnsi="宋体" w:eastAsia="宋体" w:cs="宋体"/>
          <w:sz w:val="21"/>
          <w:szCs w:val="21"/>
        </w:rPr>
        <w:t>学校董事会</w:t>
      </w:r>
      <w:r>
        <w:rPr>
          <w:rFonts w:hint="eastAsia" w:ascii="宋体" w:hAnsi="宋体" w:eastAsia="宋体" w:cs="宋体"/>
          <w:sz w:val="21"/>
          <w:szCs w:val="21"/>
          <w:lang w:eastAsia="zh-CN"/>
        </w:rPr>
        <w:t>”</w:t>
      </w:r>
      <w:r>
        <w:rPr>
          <w:rFonts w:hint="eastAsia" w:ascii="宋体" w:hAnsi="宋体" w:eastAsia="宋体" w:cs="宋体"/>
          <w:sz w:val="21"/>
          <w:szCs w:val="21"/>
        </w:rPr>
        <w:t>（其他组扮演）展示方案并接受质疑</w:t>
      </w:r>
    </w:p>
    <w:p w14:paraId="7FC5AEAF">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反思阶段</w:t>
      </w:r>
      <w:r>
        <w:rPr>
          <w:rFonts w:hint="eastAsia" w:ascii="宋体" w:hAnsi="宋体" w:eastAsia="宋体" w:cs="宋体"/>
          <w:sz w:val="21"/>
          <w:szCs w:val="21"/>
        </w:rPr>
        <w:t>：讨论方案如果被采纳还需考虑什么，连接城市防洪与海绵城市政策</w:t>
      </w:r>
    </w:p>
    <w:p w14:paraId="275AA18E">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UDL设计</w:t>
      </w:r>
      <w:r>
        <w:rPr>
          <w:rFonts w:hint="eastAsia" w:ascii="宋体" w:hAnsi="宋体" w:eastAsia="宋体" w:cs="宋体"/>
          <w:sz w:val="21"/>
          <w:szCs w:val="21"/>
        </w:rPr>
        <w:t>：</w:t>
      </w:r>
    </w:p>
    <w:p w14:paraId="7CF1729C">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表征：视频（水循环动画）、实物（土壤样本）、图表（降水量数据）</w:t>
      </w:r>
    </w:p>
    <w:p w14:paraId="78F5F590">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表达：可选设计图/比例模型/数字演示</w:t>
      </w:r>
    </w:p>
    <w:p w14:paraId="69F6AADC">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参与：可选</w:t>
      </w:r>
      <w:r>
        <w:rPr>
          <w:rFonts w:hint="eastAsia" w:ascii="宋体" w:hAnsi="宋体" w:eastAsia="宋体" w:cs="宋体"/>
          <w:sz w:val="21"/>
          <w:szCs w:val="21"/>
          <w:lang w:eastAsia="zh-CN"/>
        </w:rPr>
        <w:t>“</w:t>
      </w:r>
      <w:r>
        <w:rPr>
          <w:rFonts w:hint="eastAsia" w:ascii="宋体" w:hAnsi="宋体" w:eastAsia="宋体" w:cs="宋体"/>
          <w:sz w:val="21"/>
          <w:szCs w:val="21"/>
        </w:rPr>
        <w:t>植物专家</w:t>
      </w:r>
      <w:r>
        <w:rPr>
          <w:rFonts w:hint="eastAsia" w:ascii="宋体" w:hAnsi="宋体" w:eastAsia="宋体" w:cs="宋体"/>
          <w:sz w:val="21"/>
          <w:szCs w:val="21"/>
          <w:lang w:eastAsia="zh-CN"/>
        </w:rPr>
        <w:t>”</w:t>
      </w:r>
      <w:r>
        <w:rPr>
          <w:rFonts w:hint="eastAsia" w:ascii="宋体" w:hAnsi="宋体" w:eastAsia="宋体" w:cs="宋体"/>
          <w:sz w:val="21"/>
          <w:szCs w:val="21"/>
        </w:rPr>
        <w:t>/</w:t>
      </w:r>
      <w:r>
        <w:rPr>
          <w:rFonts w:hint="eastAsia" w:ascii="宋体" w:hAnsi="宋体" w:eastAsia="宋体" w:cs="宋体"/>
          <w:sz w:val="21"/>
          <w:szCs w:val="21"/>
          <w:lang w:eastAsia="zh-CN"/>
        </w:rPr>
        <w:t>“</w:t>
      </w:r>
      <w:r>
        <w:rPr>
          <w:rFonts w:hint="eastAsia" w:ascii="宋体" w:hAnsi="宋体" w:eastAsia="宋体" w:cs="宋体"/>
          <w:sz w:val="21"/>
          <w:szCs w:val="21"/>
        </w:rPr>
        <w:t>工程师</w:t>
      </w:r>
      <w:r>
        <w:rPr>
          <w:rFonts w:hint="eastAsia" w:ascii="宋体" w:hAnsi="宋体" w:eastAsia="宋体" w:cs="宋体"/>
          <w:sz w:val="21"/>
          <w:szCs w:val="21"/>
          <w:lang w:eastAsia="zh-CN"/>
        </w:rPr>
        <w:t>”</w:t>
      </w:r>
      <w:r>
        <w:rPr>
          <w:rFonts w:hint="eastAsia" w:ascii="宋体" w:hAnsi="宋体" w:eastAsia="宋体" w:cs="宋体"/>
          <w:sz w:val="21"/>
          <w:szCs w:val="21"/>
        </w:rPr>
        <w:t>/</w:t>
      </w:r>
      <w:r>
        <w:rPr>
          <w:rFonts w:hint="eastAsia" w:ascii="宋体" w:hAnsi="宋体" w:eastAsia="宋体" w:cs="宋体"/>
          <w:sz w:val="21"/>
          <w:szCs w:val="21"/>
          <w:lang w:eastAsia="zh-CN"/>
        </w:rPr>
        <w:t>“</w:t>
      </w:r>
      <w:r>
        <w:rPr>
          <w:rFonts w:hint="eastAsia" w:ascii="宋体" w:hAnsi="宋体" w:eastAsia="宋体" w:cs="宋体"/>
          <w:sz w:val="21"/>
          <w:szCs w:val="21"/>
        </w:rPr>
        <w:t>预算员</w:t>
      </w:r>
      <w:r>
        <w:rPr>
          <w:rFonts w:hint="eastAsia" w:ascii="宋体" w:hAnsi="宋体" w:eastAsia="宋体" w:cs="宋体"/>
          <w:sz w:val="21"/>
          <w:szCs w:val="21"/>
          <w:lang w:eastAsia="zh-CN"/>
        </w:rPr>
        <w:t>”</w:t>
      </w:r>
      <w:r>
        <w:rPr>
          <w:rFonts w:hint="eastAsia" w:ascii="宋体" w:hAnsi="宋体" w:eastAsia="宋体" w:cs="宋体"/>
          <w:sz w:val="21"/>
          <w:szCs w:val="21"/>
        </w:rPr>
        <w:t>/</w:t>
      </w:r>
      <w:r>
        <w:rPr>
          <w:rFonts w:hint="eastAsia" w:ascii="宋体" w:hAnsi="宋体" w:eastAsia="宋体" w:cs="宋体"/>
          <w:sz w:val="21"/>
          <w:szCs w:val="21"/>
          <w:lang w:eastAsia="zh-CN"/>
        </w:rPr>
        <w:t>“</w:t>
      </w:r>
      <w:r>
        <w:rPr>
          <w:rFonts w:hint="eastAsia" w:ascii="宋体" w:hAnsi="宋体" w:eastAsia="宋体" w:cs="宋体"/>
          <w:sz w:val="21"/>
          <w:szCs w:val="21"/>
        </w:rPr>
        <w:t>展示者</w:t>
      </w:r>
      <w:r>
        <w:rPr>
          <w:rFonts w:hint="eastAsia" w:ascii="宋体" w:hAnsi="宋体" w:eastAsia="宋体" w:cs="宋体"/>
          <w:sz w:val="21"/>
          <w:szCs w:val="21"/>
          <w:lang w:eastAsia="zh-CN"/>
        </w:rPr>
        <w:t>”</w:t>
      </w:r>
      <w:r>
        <w:rPr>
          <w:rFonts w:hint="eastAsia" w:ascii="宋体" w:hAnsi="宋体" w:eastAsia="宋体" w:cs="宋体"/>
          <w:sz w:val="21"/>
          <w:szCs w:val="21"/>
        </w:rPr>
        <w:t>角色</w:t>
      </w:r>
    </w:p>
    <w:p w14:paraId="7E82FE4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形成性评估检查点</w:t>
      </w:r>
      <w:r>
        <w:rPr>
          <w:rFonts w:hint="eastAsia" w:ascii="宋体" w:hAnsi="宋体" w:eastAsia="宋体" w:cs="宋体"/>
          <w:sz w:val="21"/>
          <w:szCs w:val="21"/>
        </w:rPr>
        <w:t>：</w:t>
      </w:r>
    </w:p>
    <w:p w14:paraId="27478372">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检查点 #1（探究后）：能否解释土壤渗透性差异原因？</w:t>
      </w:r>
    </w:p>
    <w:p w14:paraId="32D817E6">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检查点 #2（设计后）：设计图是否包含土壤分层和植物配置？</w:t>
      </w:r>
    </w:p>
    <w:p w14:paraId="611DBE4D">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检查点 #3（展示后）：展示是否包含科学依据和成本分析？</w:t>
      </w:r>
    </w:p>
    <w:p w14:paraId="2AF02AD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STEM整合映射涵盖五个学科维度：科学（水循环、植物生态）、技术（测量工具）、工程（花园结构）、数学（面积计算、成本估算）与艺术（景观设计）。</w:t>
      </w:r>
    </w:p>
    <w:p w14:paraId="29E54214">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五）</w:t>
      </w:r>
      <w:r>
        <w:rPr>
          <w:rFonts w:hint="eastAsia" w:ascii="宋体" w:hAnsi="宋体" w:eastAsia="宋体" w:cs="宋体"/>
          <w:sz w:val="21"/>
          <w:szCs w:val="21"/>
        </w:rPr>
        <w:t>SSI社会性科学议题：基因编辑技术的伦理边界</w:t>
      </w:r>
    </w:p>
    <w:p w14:paraId="03D84903">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本案例展示AISTEC如何处理涉及科学伦理争议的主题并自动切换至SSI框架。输入端设定</w:t>
      </w:r>
      <w:r>
        <w:rPr>
          <w:rFonts w:hint="eastAsia" w:ascii="宋体" w:hAnsi="宋体" w:eastAsia="宋体" w:cs="宋体"/>
          <w:sz w:val="21"/>
          <w:szCs w:val="21"/>
          <w:lang w:eastAsia="zh-CN"/>
        </w:rPr>
        <w:t>“</w:t>
      </w:r>
      <w:r>
        <w:rPr>
          <w:rFonts w:hint="eastAsia" w:ascii="宋体" w:hAnsi="宋体" w:eastAsia="宋体" w:cs="宋体"/>
          <w:sz w:val="21"/>
          <w:szCs w:val="21"/>
        </w:rPr>
        <w:t>为高中生设计一个关于基因编辑的SSI活动，要求培养证据-based论证能力</w:t>
      </w:r>
      <w:r>
        <w:rPr>
          <w:rFonts w:hint="eastAsia" w:ascii="宋体" w:hAnsi="宋体" w:eastAsia="宋体" w:cs="宋体"/>
          <w:sz w:val="21"/>
          <w:szCs w:val="21"/>
          <w:lang w:eastAsia="zh-CN"/>
        </w:rPr>
        <w:t>”</w:t>
      </w:r>
      <w:r>
        <w:rPr>
          <w:rFonts w:hint="eastAsia" w:ascii="宋体" w:hAnsi="宋体" w:eastAsia="宋体" w:cs="宋体"/>
          <w:sz w:val="21"/>
          <w:szCs w:val="21"/>
        </w:rPr>
        <w:t>；框架选择阶段系统识别</w:t>
      </w:r>
      <w:r>
        <w:rPr>
          <w:rFonts w:hint="eastAsia" w:ascii="宋体" w:hAnsi="宋体" w:eastAsia="宋体" w:cs="宋体"/>
          <w:sz w:val="21"/>
          <w:szCs w:val="21"/>
          <w:lang w:eastAsia="zh-CN"/>
        </w:rPr>
        <w:t>“</w:t>
      </w:r>
      <w:r>
        <w:rPr>
          <w:rFonts w:hint="eastAsia" w:ascii="宋体" w:hAnsi="宋体" w:eastAsia="宋体" w:cs="宋体"/>
          <w:sz w:val="21"/>
          <w:szCs w:val="21"/>
        </w:rPr>
        <w:t>科学伦理争议+无简单答案+需要多元视角</w:t>
      </w:r>
      <w:r>
        <w:rPr>
          <w:rFonts w:hint="eastAsia" w:ascii="宋体" w:hAnsi="宋体" w:eastAsia="宋体" w:cs="宋体"/>
          <w:sz w:val="21"/>
          <w:szCs w:val="21"/>
          <w:lang w:eastAsia="zh-CN"/>
        </w:rPr>
        <w:t>”</w:t>
      </w:r>
      <w:r>
        <w:rPr>
          <w:rFonts w:hint="eastAsia" w:ascii="宋体" w:hAnsi="宋体" w:eastAsia="宋体" w:cs="宋体"/>
          <w:sz w:val="21"/>
          <w:szCs w:val="21"/>
        </w:rPr>
        <w:t>特征后匹配SSI框架。</w:t>
      </w:r>
    </w:p>
    <w:p w14:paraId="5492CEA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内容生成层</w:t>
      </w:r>
      <w:r>
        <w:rPr>
          <w:rFonts w:hint="eastAsia" w:ascii="宋体" w:hAnsi="宋体" w:eastAsia="宋体" w:cs="宋体"/>
          <w:sz w:val="21"/>
          <w:szCs w:val="21"/>
        </w:rPr>
        <w:t>：</w:t>
      </w:r>
    </w:p>
    <w:p w14:paraId="6F5DCBA1">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lang w:eastAsia="zh-CN"/>
        </w:rPr>
      </w:pPr>
      <w:r>
        <w:rPr>
          <w:rFonts w:hint="eastAsia" w:ascii="宋体" w:hAnsi="宋体" w:eastAsia="宋体" w:cs="宋体"/>
          <w:b/>
          <w:bCs/>
          <w:sz w:val="21"/>
          <w:szCs w:val="21"/>
        </w:rPr>
        <w:t>议题引入</w:t>
      </w:r>
      <w:r>
        <w:rPr>
          <w:rFonts w:hint="eastAsia" w:ascii="宋体" w:hAnsi="宋体" w:eastAsia="宋体" w:cs="宋体"/>
          <w:sz w:val="21"/>
          <w:szCs w:val="21"/>
        </w:rPr>
        <w:t>：播放贺建奎基因编辑婴儿事件新闻，提问</w:t>
      </w:r>
      <w:r>
        <w:rPr>
          <w:rFonts w:hint="eastAsia" w:ascii="宋体" w:hAnsi="宋体" w:eastAsia="宋体" w:cs="宋体"/>
          <w:sz w:val="21"/>
          <w:szCs w:val="21"/>
          <w:lang w:eastAsia="zh-CN"/>
        </w:rPr>
        <w:t>“</w:t>
      </w:r>
      <w:r>
        <w:rPr>
          <w:rFonts w:hint="eastAsia" w:ascii="宋体" w:hAnsi="宋体" w:eastAsia="宋体" w:cs="宋体"/>
          <w:sz w:val="21"/>
          <w:szCs w:val="21"/>
        </w:rPr>
        <w:t>科学家这样做对吗？</w:t>
      </w:r>
      <w:r>
        <w:rPr>
          <w:rFonts w:hint="eastAsia" w:ascii="宋体" w:hAnsi="宋体" w:eastAsia="宋体" w:cs="宋体"/>
          <w:sz w:val="21"/>
          <w:szCs w:val="21"/>
          <w:lang w:eastAsia="zh-CN"/>
        </w:rPr>
        <w:t>”</w:t>
      </w:r>
    </w:p>
    <w:p w14:paraId="32B29A8D">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证据收集</w:t>
      </w:r>
      <w:r>
        <w:rPr>
          <w:rFonts w:hint="eastAsia" w:ascii="宋体" w:hAnsi="宋体" w:eastAsia="宋体" w:cs="宋体"/>
          <w:sz w:val="21"/>
          <w:szCs w:val="21"/>
        </w:rPr>
        <w:t>（平衡提供）：</w:t>
      </w:r>
    </w:p>
    <w:p w14:paraId="08F9CED6">
      <w:pPr>
        <w:keepNext w:val="0"/>
        <w:keepLines w:val="0"/>
        <w:pageBreakBefore w:val="0"/>
        <w:widowControl/>
        <w:numPr>
          <w:numId w:val="0"/>
        </w:numPr>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支持方：可根治遗传病、降低疾病负担</w:t>
      </w:r>
    </w:p>
    <w:p w14:paraId="4B860311">
      <w:pPr>
        <w:keepNext w:val="0"/>
        <w:keepLines w:val="0"/>
        <w:pageBreakBefore w:val="0"/>
        <w:widowControl/>
        <w:numPr>
          <w:numId w:val="0"/>
        </w:numPr>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反对方：脱靶效应风险、基因池永久改变、社会不平等加剧</w:t>
      </w:r>
    </w:p>
    <w:p w14:paraId="2497DD2C">
      <w:pPr>
        <w:keepNext w:val="0"/>
        <w:keepLines w:val="0"/>
        <w:pageBreakBefore w:val="0"/>
        <w:widowControl/>
        <w:numPr>
          <w:numId w:val="0"/>
        </w:numPr>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不确定：长期健康影响未知、国际监管不统一</w:t>
      </w:r>
    </w:p>
    <w:p w14:paraId="1E841072">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多元视角</w:t>
      </w:r>
      <w:r>
        <w:rPr>
          <w:rFonts w:hint="eastAsia" w:ascii="宋体" w:hAnsi="宋体" w:eastAsia="宋体" w:cs="宋体"/>
          <w:sz w:val="21"/>
          <w:szCs w:val="21"/>
        </w:rPr>
        <w:t>（角色扮演）：患者家庭、生物伦理学家、医生、宗教人士、政策制定者</w:t>
      </w:r>
    </w:p>
    <w:p w14:paraId="2FCAC513">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论证训练</w:t>
      </w:r>
      <w:r>
        <w:rPr>
          <w:rFonts w:hint="eastAsia" w:ascii="宋体" w:hAnsi="宋体" w:eastAsia="宋体" w:cs="宋体"/>
          <w:sz w:val="21"/>
          <w:szCs w:val="21"/>
        </w:rPr>
        <w:t>：使用</w:t>
      </w:r>
      <w:r>
        <w:rPr>
          <w:rFonts w:hint="eastAsia" w:ascii="宋体" w:hAnsi="宋体" w:eastAsia="宋体" w:cs="宋体"/>
          <w:sz w:val="21"/>
          <w:szCs w:val="21"/>
          <w:lang w:eastAsia="zh-CN"/>
        </w:rPr>
        <w:t>“</w:t>
      </w:r>
      <w:r>
        <w:rPr>
          <w:rFonts w:hint="eastAsia" w:ascii="宋体" w:hAnsi="宋体" w:eastAsia="宋体" w:cs="宋体"/>
          <w:sz w:val="21"/>
          <w:szCs w:val="21"/>
        </w:rPr>
        <w:t>主张→证据→推理→反驳</w:t>
      </w:r>
      <w:r>
        <w:rPr>
          <w:rFonts w:hint="eastAsia" w:ascii="宋体" w:hAnsi="宋体" w:eastAsia="宋体" w:cs="宋体"/>
          <w:sz w:val="21"/>
          <w:szCs w:val="21"/>
          <w:lang w:eastAsia="zh-CN"/>
        </w:rPr>
        <w:t>”</w:t>
      </w:r>
      <w:r>
        <w:rPr>
          <w:rFonts w:hint="eastAsia" w:ascii="宋体" w:hAnsi="宋体" w:eastAsia="宋体" w:cs="宋体"/>
          <w:sz w:val="21"/>
          <w:szCs w:val="21"/>
        </w:rPr>
        <w:t>结构撰写立场声明</w:t>
      </w:r>
    </w:p>
    <w:p w14:paraId="0152C559">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行动建议</w:t>
      </w:r>
      <w:r>
        <w:rPr>
          <w:rFonts w:hint="eastAsia" w:ascii="宋体" w:hAnsi="宋体" w:eastAsia="宋体" w:cs="宋体"/>
          <w:sz w:val="21"/>
          <w:szCs w:val="21"/>
        </w:rPr>
        <w:t>：给卫生部写建议信、制作科普海报、设计社交媒体内容</w:t>
      </w:r>
    </w:p>
    <w:p w14:paraId="50C095F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UDL设计</w:t>
      </w:r>
      <w:r>
        <w:rPr>
          <w:rFonts w:hint="eastAsia" w:ascii="宋体" w:hAnsi="宋体" w:eastAsia="宋体" w:cs="宋体"/>
          <w:sz w:val="21"/>
          <w:szCs w:val="21"/>
        </w:rPr>
        <w:t>：</w:t>
      </w:r>
    </w:p>
    <w:p w14:paraId="41CB0FDA">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表征：视频、新闻文章、伦理框架图表</w:t>
      </w:r>
    </w:p>
    <w:p w14:paraId="71040578">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表达：可选口头辩论/书面立场/海报设计</w:t>
      </w:r>
    </w:p>
    <w:p w14:paraId="52DC02B9">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参与：6种角色自选最认同的立场</w:t>
      </w:r>
    </w:p>
    <w:p w14:paraId="4F04AB4D">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形成性评估检查点</w:t>
      </w:r>
      <w:r>
        <w:rPr>
          <w:rFonts w:hint="eastAsia" w:ascii="宋体" w:hAnsi="宋体" w:eastAsia="宋体" w:cs="宋体"/>
          <w:sz w:val="21"/>
          <w:szCs w:val="21"/>
        </w:rPr>
        <w:t>：</w:t>
      </w:r>
    </w:p>
    <w:p w14:paraId="4C23546E">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检查点 #1（证据后）：能否区分</w:t>
      </w:r>
      <w:r>
        <w:rPr>
          <w:rFonts w:hint="eastAsia" w:ascii="宋体" w:hAnsi="宋体" w:eastAsia="宋体" w:cs="宋体"/>
          <w:sz w:val="21"/>
          <w:szCs w:val="21"/>
          <w:lang w:eastAsia="zh-CN"/>
        </w:rPr>
        <w:t>“</w:t>
      </w:r>
      <w:r>
        <w:rPr>
          <w:rFonts w:hint="eastAsia" w:ascii="宋体" w:hAnsi="宋体" w:eastAsia="宋体" w:cs="宋体"/>
          <w:sz w:val="21"/>
          <w:szCs w:val="21"/>
        </w:rPr>
        <w:t>医疗用途</w:t>
      </w:r>
      <w:r>
        <w:rPr>
          <w:rFonts w:hint="eastAsia" w:ascii="宋体" w:hAnsi="宋体" w:eastAsia="宋体" w:cs="宋体"/>
          <w:sz w:val="21"/>
          <w:szCs w:val="21"/>
          <w:lang w:eastAsia="zh-CN"/>
        </w:rPr>
        <w:t>”</w:t>
      </w:r>
      <w:r>
        <w:rPr>
          <w:rFonts w:hint="eastAsia" w:ascii="宋体" w:hAnsi="宋体" w:eastAsia="宋体" w:cs="宋体"/>
          <w:sz w:val="21"/>
          <w:szCs w:val="21"/>
        </w:rPr>
        <w:t>和</w:t>
      </w:r>
      <w:r>
        <w:rPr>
          <w:rFonts w:hint="eastAsia" w:ascii="宋体" w:hAnsi="宋体" w:eastAsia="宋体" w:cs="宋体"/>
          <w:sz w:val="21"/>
          <w:szCs w:val="21"/>
          <w:lang w:eastAsia="zh-CN"/>
        </w:rPr>
        <w:t>“</w:t>
      </w:r>
      <w:r>
        <w:rPr>
          <w:rFonts w:hint="eastAsia" w:ascii="宋体" w:hAnsi="宋体" w:eastAsia="宋体" w:cs="宋体"/>
          <w:sz w:val="21"/>
          <w:szCs w:val="21"/>
        </w:rPr>
        <w:t>增强用途</w:t>
      </w:r>
      <w:r>
        <w:rPr>
          <w:rFonts w:hint="eastAsia" w:ascii="宋体" w:hAnsi="宋体" w:eastAsia="宋体" w:cs="宋体"/>
          <w:sz w:val="21"/>
          <w:szCs w:val="21"/>
          <w:lang w:eastAsia="zh-CN"/>
        </w:rPr>
        <w:t>”</w:t>
      </w:r>
      <w:r>
        <w:rPr>
          <w:rFonts w:hint="eastAsia" w:ascii="宋体" w:hAnsi="宋体" w:eastAsia="宋体" w:cs="宋体"/>
          <w:sz w:val="21"/>
          <w:szCs w:val="21"/>
        </w:rPr>
        <w:t>？</w:t>
      </w:r>
    </w:p>
    <w:p w14:paraId="1332CD81">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检查点 #2（视角后）：能否从反方立场理解对方观点？</w:t>
      </w:r>
    </w:p>
    <w:p w14:paraId="6FFCC533">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检查点 #3（决策后）：论证是否包含科学证据而非纯情感？</w:t>
      </w:r>
    </w:p>
    <w:p w14:paraId="1EF02BC3">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六）</w:t>
      </w:r>
      <w:r>
        <w:rPr>
          <w:rFonts w:hint="eastAsia" w:ascii="宋体" w:hAnsi="宋体" w:eastAsia="宋体" w:cs="宋体"/>
          <w:sz w:val="21"/>
          <w:szCs w:val="21"/>
        </w:rPr>
        <w:t>Design Thinking：为视障同学设计触感地图</w:t>
      </w:r>
    </w:p>
    <w:p w14:paraId="4313C7EE">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本案例展示AISTEC如何应用Design Thinking框架进行用户中心的产品设计。输入端设定</w:t>
      </w:r>
      <w:r>
        <w:rPr>
          <w:rFonts w:hint="eastAsia" w:ascii="宋体" w:hAnsi="宋体" w:eastAsia="宋体" w:cs="宋体"/>
          <w:sz w:val="21"/>
          <w:szCs w:val="21"/>
          <w:lang w:eastAsia="zh-CN"/>
        </w:rPr>
        <w:t>“</w:t>
      </w:r>
      <w:r>
        <w:rPr>
          <w:rFonts w:hint="eastAsia" w:ascii="宋体" w:hAnsi="宋体" w:eastAsia="宋体" w:cs="宋体"/>
          <w:sz w:val="21"/>
          <w:szCs w:val="21"/>
        </w:rPr>
        <w:t>为小学高年级设计一个Design Thinking活动，产出帮助视障同学导航校园的触感地图</w:t>
      </w:r>
      <w:r>
        <w:rPr>
          <w:rFonts w:hint="eastAsia" w:ascii="宋体" w:hAnsi="宋体" w:eastAsia="宋体" w:cs="宋体"/>
          <w:sz w:val="21"/>
          <w:szCs w:val="21"/>
          <w:lang w:eastAsia="zh-CN"/>
        </w:rPr>
        <w:t>”</w:t>
      </w:r>
      <w:r>
        <w:rPr>
          <w:rFonts w:hint="eastAsia" w:ascii="宋体" w:hAnsi="宋体" w:eastAsia="宋体" w:cs="宋体"/>
          <w:sz w:val="21"/>
          <w:szCs w:val="21"/>
        </w:rPr>
        <w:t>；框架选择阶段系统识别</w:t>
      </w:r>
      <w:r>
        <w:rPr>
          <w:rFonts w:hint="eastAsia" w:ascii="宋体" w:hAnsi="宋体" w:eastAsia="宋体" w:cs="宋体"/>
          <w:sz w:val="21"/>
          <w:szCs w:val="21"/>
          <w:lang w:eastAsia="zh-CN"/>
        </w:rPr>
        <w:t>“</w:t>
      </w:r>
      <w:r>
        <w:rPr>
          <w:rFonts w:hint="eastAsia" w:ascii="宋体" w:hAnsi="宋体" w:eastAsia="宋体" w:cs="宋体"/>
          <w:sz w:val="21"/>
          <w:szCs w:val="21"/>
        </w:rPr>
        <w:t>实体产品产出+用户中心+迭代测试</w:t>
      </w:r>
      <w:r>
        <w:rPr>
          <w:rFonts w:hint="eastAsia" w:ascii="宋体" w:hAnsi="宋体" w:eastAsia="宋体" w:cs="宋体"/>
          <w:sz w:val="21"/>
          <w:szCs w:val="21"/>
          <w:lang w:eastAsia="zh-CN"/>
        </w:rPr>
        <w:t>”</w:t>
      </w:r>
      <w:r>
        <w:rPr>
          <w:rFonts w:hint="eastAsia" w:ascii="宋体" w:hAnsi="宋体" w:eastAsia="宋体" w:cs="宋体"/>
          <w:sz w:val="21"/>
          <w:szCs w:val="21"/>
        </w:rPr>
        <w:t>特征后匹配Design Thinking框架。</w:t>
      </w:r>
    </w:p>
    <w:p w14:paraId="190632A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内容生成层</w:t>
      </w:r>
      <w:r>
        <w:rPr>
          <w:rFonts w:hint="eastAsia" w:ascii="宋体" w:hAnsi="宋体" w:eastAsia="宋体" w:cs="宋体"/>
          <w:sz w:val="21"/>
          <w:szCs w:val="21"/>
        </w:rPr>
        <w:t>：</w:t>
      </w:r>
    </w:p>
    <w:p w14:paraId="0841C11D">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同理心</w:t>
      </w:r>
      <w:r>
        <w:rPr>
          <w:rFonts w:hint="eastAsia" w:ascii="宋体" w:hAnsi="宋体" w:eastAsia="宋体" w:cs="宋体"/>
          <w:sz w:val="21"/>
          <w:szCs w:val="21"/>
        </w:rPr>
        <w:t>：学生蒙眼行走体验视障者的空间认知困难，访谈视障同学需求</w:t>
      </w:r>
    </w:p>
    <w:p w14:paraId="6B2E6828">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定义</w:t>
      </w:r>
      <w:r>
        <w:rPr>
          <w:rFonts w:hint="eastAsia" w:ascii="宋体" w:hAnsi="宋体" w:eastAsia="宋体" w:cs="宋体"/>
          <w:sz w:val="21"/>
          <w:szCs w:val="21"/>
        </w:rPr>
        <w:t>：需求陈述"视障同学需要一个能独立使用的校园导航工具"</w:t>
      </w:r>
    </w:p>
    <w:p w14:paraId="4E60F345">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构思</w:t>
      </w:r>
      <w:r>
        <w:rPr>
          <w:rFonts w:hint="eastAsia" w:ascii="宋体" w:hAnsi="宋体" w:eastAsia="宋体" w:cs="宋体"/>
          <w:sz w:val="21"/>
          <w:szCs w:val="21"/>
        </w:rPr>
        <w:t>：头脑风暴纹理、材料、盲文标注、声音提示</w:t>
      </w:r>
    </w:p>
    <w:p w14:paraId="24FBFA37">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原型</w:t>
      </w:r>
      <w:r>
        <w:rPr>
          <w:rFonts w:hint="eastAsia" w:ascii="宋体" w:hAnsi="宋体" w:eastAsia="宋体" w:cs="宋体"/>
          <w:sz w:val="21"/>
          <w:szCs w:val="21"/>
        </w:rPr>
        <w:t>：用卡纸、盲文贴纸、不同纹理材料制作触感地图</w:t>
      </w:r>
    </w:p>
    <w:p w14:paraId="47D7E8F2">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b/>
          <w:bCs/>
          <w:sz w:val="21"/>
          <w:szCs w:val="21"/>
        </w:rPr>
        <w:t>测试</w:t>
      </w:r>
      <w:r>
        <w:rPr>
          <w:rFonts w:hint="eastAsia" w:ascii="宋体" w:hAnsi="宋体" w:eastAsia="宋体" w:cs="宋体"/>
          <w:sz w:val="21"/>
          <w:szCs w:val="21"/>
        </w:rPr>
        <w:t>：视障同学（或蒙眼同学）测试原型，收集反馈并迭代</w:t>
      </w:r>
    </w:p>
    <w:p w14:paraId="65BE2C5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UDL设计</w:t>
      </w:r>
      <w:r>
        <w:rPr>
          <w:rFonts w:hint="eastAsia" w:ascii="宋体" w:hAnsi="宋体" w:eastAsia="宋体" w:cs="宋体"/>
          <w:sz w:val="21"/>
          <w:szCs w:val="21"/>
        </w:rPr>
        <w:t>：</w:t>
      </w:r>
    </w:p>
    <w:p w14:paraId="58EEAA3D">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表征：蒙眼体验、触觉材料样本、音频描述</w:t>
      </w:r>
    </w:p>
    <w:p w14:paraId="6EE26009">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表达：可选实物模型/数字设计图/口头方案</w:t>
      </w:r>
    </w:p>
    <w:p w14:paraId="50EBEE8D">
      <w:pPr>
        <w:keepNext w:val="0"/>
        <w:keepLines w:val="0"/>
        <w:pageBreakBefore w:val="0"/>
        <w:widowControl/>
        <w:numPr>
          <w:numId w:val="0"/>
        </w:numPr>
        <w:kinsoku/>
        <w:wordWrap/>
        <w:overflowPunct/>
        <w:topLinePunct w:val="0"/>
        <w:autoSpaceDE/>
        <w:autoSpaceDN/>
        <w:bidi w:val="0"/>
        <w:adjustRightInd/>
        <w:snapToGrid/>
        <w:spacing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rPr>
        <w:t>参与：可选"设计师"/"测试员"/"记录员"角色</w:t>
      </w:r>
    </w:p>
    <w:p w14:paraId="54647E10">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七）</w:t>
      </w:r>
      <w:r>
        <w:rPr>
          <w:rFonts w:hint="eastAsia" w:ascii="宋体" w:hAnsi="宋体" w:eastAsia="宋体" w:cs="宋体"/>
          <w:sz w:val="21"/>
          <w:szCs w:val="21"/>
        </w:rPr>
        <w:t>案例效果评估</w:t>
      </w:r>
    </w:p>
    <w:p w14:paraId="75234431">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为验证 AISTEC 的有效性，我们在某省级科技馆和两所中学开展了为期3个月的对比实验：</w:t>
      </w:r>
    </w:p>
    <w:tbl>
      <w:tblPr>
        <w:tblStyle w:val="9"/>
        <w:tblW w:w="1038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595"/>
        <w:gridCol w:w="2595"/>
        <w:gridCol w:w="2595"/>
        <w:gridCol w:w="2595"/>
      </w:tblGrid>
      <w:tr w14:paraId="3478AAE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4667BB4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维度</w:t>
            </w:r>
          </w:p>
        </w:tc>
        <w:tc>
          <w:tcPr>
            <w:tcW w:w="2595" w:type="dxa"/>
            <w:vAlign w:val="top"/>
          </w:tcPr>
          <w:p w14:paraId="3827460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传统人工创作</w:t>
            </w:r>
          </w:p>
        </w:tc>
        <w:tc>
          <w:tcPr>
            <w:tcW w:w="2595" w:type="dxa"/>
            <w:vAlign w:val="top"/>
          </w:tcPr>
          <w:p w14:paraId="30D5719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AISTEC辅助创作</w:t>
            </w:r>
          </w:p>
        </w:tc>
        <w:tc>
          <w:tcPr>
            <w:tcW w:w="2595" w:type="dxa"/>
            <w:vAlign w:val="top"/>
          </w:tcPr>
          <w:p w14:paraId="27BA2B5D">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提升幅度</w:t>
            </w:r>
          </w:p>
        </w:tc>
      </w:tr>
      <w:tr w14:paraId="6EC7CC8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4D5B1BD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单活动方案创作周期</w:t>
            </w:r>
          </w:p>
        </w:tc>
        <w:tc>
          <w:tcPr>
            <w:tcW w:w="2595" w:type="dxa"/>
            <w:vAlign w:val="top"/>
          </w:tcPr>
          <w:p w14:paraId="3A8A0CD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5-7天</w:t>
            </w:r>
          </w:p>
        </w:tc>
        <w:tc>
          <w:tcPr>
            <w:tcW w:w="2595" w:type="dxa"/>
            <w:vAlign w:val="top"/>
          </w:tcPr>
          <w:p w14:paraId="6F9C1FC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2-3小时</w:t>
            </w:r>
          </w:p>
        </w:tc>
        <w:tc>
          <w:tcPr>
            <w:tcW w:w="2595" w:type="dxa"/>
            <w:vAlign w:val="top"/>
          </w:tcPr>
          <w:p w14:paraId="6711C62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90%+</w:t>
            </w:r>
          </w:p>
        </w:tc>
      </w:tr>
      <w:tr w14:paraId="3C63E40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57BA242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科学事实错误率</w:t>
            </w:r>
          </w:p>
        </w:tc>
        <w:tc>
          <w:tcPr>
            <w:tcW w:w="2595" w:type="dxa"/>
            <w:vAlign w:val="top"/>
          </w:tcPr>
          <w:p w14:paraId="64B5A10E">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12%（专家复核发现）</w:t>
            </w:r>
          </w:p>
        </w:tc>
        <w:tc>
          <w:tcPr>
            <w:tcW w:w="2595" w:type="dxa"/>
            <w:vAlign w:val="top"/>
          </w:tcPr>
          <w:p w14:paraId="356226BA">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3%</w:t>
            </w:r>
          </w:p>
        </w:tc>
        <w:tc>
          <w:tcPr>
            <w:tcW w:w="2595" w:type="dxa"/>
            <w:vAlign w:val="top"/>
          </w:tcPr>
          <w:p w14:paraId="3D7F5D3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75%↓</w:t>
            </w:r>
          </w:p>
        </w:tc>
      </w:tr>
      <w:tr w14:paraId="50229B3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0B86FF5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教育活动完整性（12章标准）</w:t>
            </w:r>
          </w:p>
        </w:tc>
        <w:tc>
          <w:tcPr>
            <w:tcW w:w="2595" w:type="dxa"/>
            <w:vAlign w:val="top"/>
          </w:tcPr>
          <w:p w14:paraId="4B1CC9F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68%达标</w:t>
            </w:r>
          </w:p>
        </w:tc>
        <w:tc>
          <w:tcPr>
            <w:tcW w:w="2595" w:type="dxa"/>
            <w:vAlign w:val="top"/>
          </w:tcPr>
          <w:p w14:paraId="22EA994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95%达标</w:t>
            </w:r>
          </w:p>
        </w:tc>
        <w:tc>
          <w:tcPr>
            <w:tcW w:w="2595" w:type="dxa"/>
            <w:vAlign w:val="top"/>
          </w:tcPr>
          <w:p w14:paraId="33793F0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40%↑</w:t>
            </w:r>
          </w:p>
        </w:tc>
      </w:tr>
      <w:tr w14:paraId="006F2C8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4ADAA98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教学法框架多样性</w:t>
            </w:r>
          </w:p>
        </w:tc>
        <w:tc>
          <w:tcPr>
            <w:tcW w:w="2595" w:type="dxa"/>
            <w:vAlign w:val="top"/>
          </w:tcPr>
          <w:p w14:paraId="2DDB229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平均2.1种/方案</w:t>
            </w:r>
          </w:p>
        </w:tc>
        <w:tc>
          <w:tcPr>
            <w:tcW w:w="2595" w:type="dxa"/>
            <w:vAlign w:val="top"/>
          </w:tcPr>
          <w:p w14:paraId="005AD7BE">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自动匹配最优框架（14种可选）</w:t>
            </w:r>
          </w:p>
        </w:tc>
        <w:tc>
          <w:tcPr>
            <w:tcW w:w="2595" w:type="dxa"/>
            <w:vAlign w:val="top"/>
          </w:tcPr>
          <w:p w14:paraId="4F59174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w:t>
            </w:r>
          </w:p>
        </w:tc>
      </w:tr>
      <w:tr w14:paraId="1128364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47A5B03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UDL覆盖度（3分制）</w:t>
            </w:r>
          </w:p>
        </w:tc>
        <w:tc>
          <w:tcPr>
            <w:tcW w:w="2595" w:type="dxa"/>
            <w:vAlign w:val="top"/>
          </w:tcPr>
          <w:p w14:paraId="35ECD95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1.2/3</w:t>
            </w:r>
          </w:p>
        </w:tc>
        <w:tc>
          <w:tcPr>
            <w:tcW w:w="2595" w:type="dxa"/>
            <w:vAlign w:val="top"/>
          </w:tcPr>
          <w:p w14:paraId="40DFB28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2.6/3</w:t>
            </w:r>
          </w:p>
        </w:tc>
        <w:tc>
          <w:tcPr>
            <w:tcW w:w="2595" w:type="dxa"/>
            <w:vAlign w:val="top"/>
          </w:tcPr>
          <w:p w14:paraId="5825608D">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117%↑</w:t>
            </w:r>
          </w:p>
        </w:tc>
      </w:tr>
      <w:tr w14:paraId="7DFA7DE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3F5047F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形成性评估检查点嵌入率</w:t>
            </w:r>
          </w:p>
        </w:tc>
        <w:tc>
          <w:tcPr>
            <w:tcW w:w="2595" w:type="dxa"/>
            <w:vAlign w:val="top"/>
          </w:tcPr>
          <w:p w14:paraId="0537F1D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15%</w:t>
            </w:r>
          </w:p>
        </w:tc>
        <w:tc>
          <w:tcPr>
            <w:tcW w:w="2595" w:type="dxa"/>
            <w:vAlign w:val="top"/>
          </w:tcPr>
          <w:p w14:paraId="3F390EF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92%</w:t>
            </w:r>
          </w:p>
        </w:tc>
        <w:tc>
          <w:tcPr>
            <w:tcW w:w="2595" w:type="dxa"/>
            <w:vAlign w:val="top"/>
          </w:tcPr>
          <w:p w14:paraId="4C0DB4C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513%↑</w:t>
            </w:r>
          </w:p>
        </w:tc>
      </w:tr>
      <w:tr w14:paraId="2563EA7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39D4571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观众满意度（问卷，N=1200）</w:t>
            </w:r>
          </w:p>
        </w:tc>
        <w:tc>
          <w:tcPr>
            <w:tcW w:w="2595" w:type="dxa"/>
            <w:vAlign w:val="top"/>
          </w:tcPr>
          <w:p w14:paraId="61CA4A4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4.1/5</w:t>
            </w:r>
          </w:p>
        </w:tc>
        <w:tc>
          <w:tcPr>
            <w:tcW w:w="2595" w:type="dxa"/>
            <w:vAlign w:val="top"/>
          </w:tcPr>
          <w:p w14:paraId="0B94A3ED">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4.5/5</w:t>
            </w:r>
          </w:p>
        </w:tc>
        <w:tc>
          <w:tcPr>
            <w:tcW w:w="2595" w:type="dxa"/>
            <w:vAlign w:val="top"/>
          </w:tcPr>
          <w:p w14:paraId="4114210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10%↑</w:t>
            </w:r>
          </w:p>
        </w:tc>
      </w:tr>
      <w:tr w14:paraId="2B96010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3A93DB9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教育公平性评分（无障碍+文化多样性）</w:t>
            </w:r>
          </w:p>
        </w:tc>
        <w:tc>
          <w:tcPr>
            <w:tcW w:w="2595" w:type="dxa"/>
            <w:vAlign w:val="top"/>
          </w:tcPr>
          <w:p w14:paraId="5B5AA68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3.2/5</w:t>
            </w:r>
          </w:p>
        </w:tc>
        <w:tc>
          <w:tcPr>
            <w:tcW w:w="2595" w:type="dxa"/>
            <w:vAlign w:val="top"/>
          </w:tcPr>
          <w:p w14:paraId="201B7C4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4.3/5</w:t>
            </w:r>
          </w:p>
        </w:tc>
        <w:tc>
          <w:tcPr>
            <w:tcW w:w="2595" w:type="dxa"/>
            <w:vAlign w:val="top"/>
          </w:tcPr>
          <w:p w14:paraId="633EBBA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34%↑</w:t>
            </w:r>
          </w:p>
        </w:tc>
      </w:tr>
      <w:tr w14:paraId="6901995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1637150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辅导员培训周期</w:t>
            </w:r>
          </w:p>
        </w:tc>
        <w:tc>
          <w:tcPr>
            <w:tcW w:w="2595" w:type="dxa"/>
            <w:vAlign w:val="top"/>
          </w:tcPr>
          <w:p w14:paraId="66E1457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3个月</w:t>
            </w:r>
          </w:p>
        </w:tc>
        <w:tc>
          <w:tcPr>
            <w:tcW w:w="2595" w:type="dxa"/>
            <w:vAlign w:val="top"/>
          </w:tcPr>
          <w:p w14:paraId="492EFEE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2周</w:t>
            </w:r>
          </w:p>
        </w:tc>
        <w:tc>
          <w:tcPr>
            <w:tcW w:w="2595" w:type="dxa"/>
            <w:vAlign w:val="top"/>
          </w:tcPr>
          <w:p w14:paraId="1DA9BA6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83%↓</w:t>
            </w:r>
          </w:p>
        </w:tc>
      </w:tr>
    </w:tbl>
    <w:p w14:paraId="6BCF4F6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多维度质量评分对比</w:t>
      </w:r>
      <w:r>
        <w:rPr>
          <w:rFonts w:hint="eastAsia" w:ascii="宋体" w:hAnsi="宋体" w:eastAsia="宋体" w:cs="宋体"/>
          <w:sz w:val="21"/>
          <w:szCs w:val="21"/>
        </w:rPr>
        <w:t>（随机抽取50份方案）：</w:t>
      </w:r>
    </w:p>
    <w:tbl>
      <w:tblPr>
        <w:tblStyle w:val="9"/>
        <w:tblW w:w="1038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595"/>
        <w:gridCol w:w="2595"/>
        <w:gridCol w:w="2595"/>
        <w:gridCol w:w="2595"/>
      </w:tblGrid>
      <w:tr w14:paraId="72FD845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4FE94CFE">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维度</w:t>
            </w:r>
          </w:p>
        </w:tc>
        <w:tc>
          <w:tcPr>
            <w:tcW w:w="2595" w:type="dxa"/>
            <w:vAlign w:val="top"/>
          </w:tcPr>
          <w:p w14:paraId="251FED7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传统方案均分</w:t>
            </w:r>
          </w:p>
        </w:tc>
        <w:tc>
          <w:tcPr>
            <w:tcW w:w="2595" w:type="dxa"/>
            <w:vAlign w:val="top"/>
          </w:tcPr>
          <w:p w14:paraId="361860D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AISTEC方案均分</w:t>
            </w:r>
          </w:p>
        </w:tc>
        <w:tc>
          <w:tcPr>
            <w:tcW w:w="2595" w:type="dxa"/>
            <w:vAlign w:val="top"/>
          </w:tcPr>
          <w:p w14:paraId="7DB66B3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提升</w:t>
            </w:r>
          </w:p>
        </w:tc>
      </w:tr>
      <w:tr w14:paraId="3908419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7FC1B82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科学准确性（权重20%）</w:t>
            </w:r>
          </w:p>
        </w:tc>
        <w:tc>
          <w:tcPr>
            <w:tcW w:w="2595" w:type="dxa"/>
            <w:vAlign w:val="top"/>
          </w:tcPr>
          <w:p w14:paraId="3FE7FB8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78</w:t>
            </w:r>
          </w:p>
        </w:tc>
        <w:tc>
          <w:tcPr>
            <w:tcW w:w="2595" w:type="dxa"/>
            <w:vAlign w:val="top"/>
          </w:tcPr>
          <w:p w14:paraId="1675AA8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91</w:t>
            </w:r>
          </w:p>
        </w:tc>
        <w:tc>
          <w:tcPr>
            <w:tcW w:w="2595" w:type="dxa"/>
            <w:vAlign w:val="top"/>
          </w:tcPr>
          <w:p w14:paraId="7B50333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+17%</w:t>
            </w:r>
          </w:p>
        </w:tc>
      </w:tr>
      <w:tr w14:paraId="739CCB7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7DF11ED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教育有效性（权重20%）</w:t>
            </w:r>
          </w:p>
        </w:tc>
        <w:tc>
          <w:tcPr>
            <w:tcW w:w="2595" w:type="dxa"/>
            <w:vAlign w:val="top"/>
          </w:tcPr>
          <w:p w14:paraId="06878B2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72</w:t>
            </w:r>
          </w:p>
        </w:tc>
        <w:tc>
          <w:tcPr>
            <w:tcW w:w="2595" w:type="dxa"/>
            <w:vAlign w:val="top"/>
          </w:tcPr>
          <w:p w14:paraId="654EAD7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88</w:t>
            </w:r>
          </w:p>
        </w:tc>
        <w:tc>
          <w:tcPr>
            <w:tcW w:w="2595" w:type="dxa"/>
            <w:vAlign w:val="top"/>
          </w:tcPr>
          <w:p w14:paraId="0EFEFC9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+22%</w:t>
            </w:r>
          </w:p>
        </w:tc>
      </w:tr>
      <w:tr w14:paraId="6151379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10A0906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框架完整性（权重15%）</w:t>
            </w:r>
          </w:p>
        </w:tc>
        <w:tc>
          <w:tcPr>
            <w:tcW w:w="2595" w:type="dxa"/>
            <w:vAlign w:val="top"/>
          </w:tcPr>
          <w:p w14:paraId="0DEE2FB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65</w:t>
            </w:r>
          </w:p>
        </w:tc>
        <w:tc>
          <w:tcPr>
            <w:tcW w:w="2595" w:type="dxa"/>
            <w:vAlign w:val="top"/>
          </w:tcPr>
          <w:p w14:paraId="37FA185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86</w:t>
            </w:r>
          </w:p>
        </w:tc>
        <w:tc>
          <w:tcPr>
            <w:tcW w:w="2595" w:type="dxa"/>
            <w:vAlign w:val="top"/>
          </w:tcPr>
          <w:p w14:paraId="6CE36AF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+32%</w:t>
            </w:r>
          </w:p>
        </w:tc>
      </w:tr>
      <w:tr w14:paraId="56A2310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5B68CA6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可操作性（权重15%）</w:t>
            </w:r>
          </w:p>
        </w:tc>
        <w:tc>
          <w:tcPr>
            <w:tcW w:w="2595" w:type="dxa"/>
            <w:vAlign w:val="top"/>
          </w:tcPr>
          <w:p w14:paraId="2370948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80</w:t>
            </w:r>
          </w:p>
        </w:tc>
        <w:tc>
          <w:tcPr>
            <w:tcW w:w="2595" w:type="dxa"/>
            <w:vAlign w:val="top"/>
          </w:tcPr>
          <w:p w14:paraId="3E303F05">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89</w:t>
            </w:r>
          </w:p>
        </w:tc>
        <w:tc>
          <w:tcPr>
            <w:tcW w:w="2595" w:type="dxa"/>
            <w:vAlign w:val="top"/>
          </w:tcPr>
          <w:p w14:paraId="6A7410B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+11%</w:t>
            </w:r>
          </w:p>
        </w:tc>
      </w:tr>
      <w:tr w14:paraId="57162A7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278D8FE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UDL覆盖（权重15%）</w:t>
            </w:r>
          </w:p>
        </w:tc>
        <w:tc>
          <w:tcPr>
            <w:tcW w:w="2595" w:type="dxa"/>
            <w:vAlign w:val="top"/>
          </w:tcPr>
          <w:p w14:paraId="09DA087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45</w:t>
            </w:r>
          </w:p>
        </w:tc>
        <w:tc>
          <w:tcPr>
            <w:tcW w:w="2595" w:type="dxa"/>
            <w:vAlign w:val="top"/>
          </w:tcPr>
          <w:p w14:paraId="6ABB460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82</w:t>
            </w:r>
          </w:p>
        </w:tc>
        <w:tc>
          <w:tcPr>
            <w:tcW w:w="2595" w:type="dxa"/>
            <w:vAlign w:val="top"/>
          </w:tcPr>
          <w:p w14:paraId="47382E8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+82%</w:t>
            </w:r>
          </w:p>
        </w:tc>
      </w:tr>
      <w:tr w14:paraId="6B78416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7925DD3A">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形成性评估（权重15%）</w:t>
            </w:r>
          </w:p>
        </w:tc>
        <w:tc>
          <w:tcPr>
            <w:tcW w:w="2595" w:type="dxa"/>
            <w:vAlign w:val="top"/>
          </w:tcPr>
          <w:p w14:paraId="334F727A">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38</w:t>
            </w:r>
          </w:p>
        </w:tc>
        <w:tc>
          <w:tcPr>
            <w:tcW w:w="2595" w:type="dxa"/>
            <w:vAlign w:val="top"/>
          </w:tcPr>
          <w:p w14:paraId="62BC49A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85</w:t>
            </w:r>
          </w:p>
        </w:tc>
        <w:tc>
          <w:tcPr>
            <w:tcW w:w="2595" w:type="dxa"/>
            <w:vAlign w:val="top"/>
          </w:tcPr>
          <w:p w14:paraId="5BD2ADD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+124%</w:t>
            </w:r>
          </w:p>
        </w:tc>
      </w:tr>
      <w:tr w14:paraId="7929926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95" w:type="dxa"/>
            <w:vAlign w:val="top"/>
          </w:tcPr>
          <w:p w14:paraId="4FADFB7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总分（加权）</w:t>
            </w:r>
          </w:p>
        </w:tc>
        <w:tc>
          <w:tcPr>
            <w:tcW w:w="2595" w:type="dxa"/>
            <w:vAlign w:val="top"/>
          </w:tcPr>
          <w:p w14:paraId="2F047DA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65.4</w:t>
            </w:r>
          </w:p>
        </w:tc>
        <w:tc>
          <w:tcPr>
            <w:tcW w:w="2595" w:type="dxa"/>
            <w:vAlign w:val="top"/>
          </w:tcPr>
          <w:p w14:paraId="0AFCCBA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87.1</w:t>
            </w:r>
          </w:p>
        </w:tc>
        <w:tc>
          <w:tcPr>
            <w:tcW w:w="2595" w:type="dxa"/>
            <w:vAlign w:val="top"/>
          </w:tcPr>
          <w:p w14:paraId="7566FFD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b/>
                <w:bCs/>
                <w:sz w:val="21"/>
                <w:szCs w:val="21"/>
              </w:rPr>
              <w:t>+33%</w:t>
            </w:r>
          </w:p>
        </w:tc>
      </w:tr>
    </w:tbl>
    <w:p w14:paraId="1C282AE8">
      <w:pPr>
        <w:keepNext w:val="0"/>
        <w:keepLines w:val="0"/>
        <w:pageBreakBefore w:val="0"/>
        <w:widowControl/>
        <w:numPr>
          <w:numId w:val="0"/>
        </w:numPr>
        <w:kinsoku/>
        <w:wordWrap/>
        <w:overflowPunct/>
        <w:topLinePunct w:val="0"/>
        <w:autoSpaceDE/>
        <w:autoSpaceDN/>
        <w:bidi w:val="0"/>
        <w:adjustRightInd/>
        <w:snapToGrid/>
        <w:spacing w:before="0" w:after="0" w:line="240" w:lineRule="auto"/>
        <w:ind w:leftChars="0"/>
        <w:jc w:val="left"/>
        <w:textAlignment w:val="baseline"/>
        <w:outlineLvl w:val="9"/>
        <w:rPr>
          <w:rFonts w:hint="eastAsia" w:ascii="宋体" w:hAnsi="宋体" w:eastAsia="宋体" w:cs="宋体"/>
          <w:sz w:val="21"/>
          <w:szCs w:val="21"/>
          <w:lang w:val="en-US" w:eastAsia="zh-CN"/>
        </w:rPr>
      </w:pPr>
    </w:p>
    <w:p w14:paraId="2C319E21">
      <w:pPr>
        <w:pStyle w:val="3"/>
        <w:keepNext w:val="0"/>
        <w:keepLines w:val="0"/>
        <w:pageBreakBefore w:val="0"/>
        <w:widowControl/>
        <w:numPr>
          <w:numId w:val="0"/>
        </w:numPr>
        <w:kinsoku/>
        <w:wordWrap/>
        <w:overflowPunct/>
        <w:topLinePunct w:val="0"/>
        <w:autoSpaceDE/>
        <w:autoSpaceDN/>
        <w:bidi w:val="0"/>
        <w:adjustRightInd/>
        <w:snapToGrid/>
        <w:spacing w:before="0" w:after="0"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lang w:val="en-US" w:eastAsia="zh-CN"/>
        </w:rPr>
        <w:t>六、</w:t>
      </w:r>
      <w:r>
        <w:rPr>
          <w:rFonts w:hint="eastAsia" w:ascii="宋体" w:hAnsi="宋体" w:eastAsia="宋体" w:cs="宋体"/>
          <w:sz w:val="21"/>
          <w:szCs w:val="21"/>
        </w:rPr>
        <w:t>伦理规范与治理路径</w:t>
      </w:r>
    </w:p>
    <w:p w14:paraId="3F87D4E3">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一）</w:t>
      </w:r>
      <w:r>
        <w:rPr>
          <w:rFonts w:hint="eastAsia" w:ascii="宋体" w:hAnsi="宋体" w:eastAsia="宋体" w:cs="宋体"/>
          <w:sz w:val="21"/>
          <w:szCs w:val="21"/>
        </w:rPr>
        <w:t>技术伦理风险识别</w:t>
      </w:r>
    </w:p>
    <w:p w14:paraId="66C303E6">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AI赋能科普教育并非无风险，AISTEC框架内置了伦理风险扫描机制以识别和 mitigate 五类核心风险。科学权威误用风险源于AI生成内容可能因标注不清而被误认为</w:t>
      </w:r>
      <w:r>
        <w:rPr>
          <w:rFonts w:hint="eastAsia" w:ascii="宋体" w:hAnsi="宋体" w:eastAsia="宋体" w:cs="宋体"/>
          <w:sz w:val="21"/>
          <w:szCs w:val="21"/>
          <w:lang w:eastAsia="zh-CN"/>
        </w:rPr>
        <w:t>“</w:t>
      </w:r>
      <w:r>
        <w:rPr>
          <w:rFonts w:hint="eastAsia" w:ascii="宋体" w:hAnsi="宋体" w:eastAsia="宋体" w:cs="宋体"/>
          <w:sz w:val="21"/>
          <w:szCs w:val="21"/>
        </w:rPr>
        <w:t>绝对正确</w:t>
      </w:r>
      <w:r>
        <w:rPr>
          <w:rFonts w:hint="eastAsia" w:ascii="宋体" w:hAnsi="宋体" w:eastAsia="宋体" w:cs="宋体"/>
          <w:sz w:val="21"/>
          <w:szCs w:val="21"/>
          <w:lang w:eastAsia="zh-CN"/>
        </w:rPr>
        <w:t>”</w:t>
      </w:r>
      <w:r>
        <w:rPr>
          <w:rFonts w:hint="eastAsia" w:ascii="宋体" w:hAnsi="宋体" w:eastAsia="宋体" w:cs="宋体"/>
          <w:sz w:val="21"/>
          <w:szCs w:val="21"/>
        </w:rPr>
        <w:t>，AISTEC通过强制性的[待验证]/[争议]/[推测]标注明确告知用户内容的可信度等级，避免科学权威的不当迁移。教育公平性风险表现为AI生成的活动方案若缺乏UDL设计，可能系统性地排斥残障学习者、非母语学习者或经济欠发达地区学习者，AISTEC通过强制嵌入UDL三原则检查、公平性审计模块和成本效益分析，确保每个方案具备多元表征、多元表达和多元参与路径，并提供低成本替代材料清单。认知同质化风险在于若所有场馆使用同一AI系统，可能导致全国科普内容的同质化，AISTEC的模板迁移学习机制鼓励各馆基于自身特色案例库训练专属模板，同时14种框架支持和框架选择决策树进一步降低了模板化风险。数字鸿沟风险体现为AI驱动的沉浸式体验可能加剧</w:t>
      </w:r>
      <w:r>
        <w:rPr>
          <w:rFonts w:hint="eastAsia" w:ascii="宋体" w:hAnsi="宋体" w:eastAsia="宋体" w:cs="宋体"/>
          <w:sz w:val="21"/>
          <w:szCs w:val="21"/>
          <w:lang w:eastAsia="zh-CN"/>
        </w:rPr>
        <w:t>“</w:t>
      </w:r>
      <w:r>
        <w:rPr>
          <w:rFonts w:hint="eastAsia" w:ascii="宋体" w:hAnsi="宋体" w:eastAsia="宋体" w:cs="宋体"/>
          <w:sz w:val="21"/>
          <w:szCs w:val="21"/>
        </w:rPr>
        <w:t>技术富人</w:t>
      </w:r>
      <w:r>
        <w:rPr>
          <w:rFonts w:hint="eastAsia" w:ascii="宋体" w:hAnsi="宋体" w:eastAsia="宋体" w:cs="宋体"/>
          <w:sz w:val="21"/>
          <w:szCs w:val="21"/>
          <w:lang w:eastAsia="zh-CN"/>
        </w:rPr>
        <w:t>”</w:t>
      </w:r>
      <w:r>
        <w:rPr>
          <w:rFonts w:hint="eastAsia" w:ascii="宋体" w:hAnsi="宋体" w:eastAsia="宋体" w:cs="宋体"/>
          <w:sz w:val="21"/>
          <w:szCs w:val="21"/>
        </w:rPr>
        <w:t>与</w:t>
      </w:r>
      <w:r>
        <w:rPr>
          <w:rFonts w:hint="eastAsia" w:ascii="宋体" w:hAnsi="宋体" w:eastAsia="宋体" w:cs="宋体"/>
          <w:sz w:val="21"/>
          <w:szCs w:val="21"/>
          <w:lang w:eastAsia="zh-CN"/>
        </w:rPr>
        <w:t>“</w:t>
      </w:r>
      <w:r>
        <w:rPr>
          <w:rFonts w:hint="eastAsia" w:ascii="宋体" w:hAnsi="宋体" w:eastAsia="宋体" w:cs="宋体"/>
          <w:sz w:val="21"/>
          <w:szCs w:val="21"/>
        </w:rPr>
        <w:t>技术穷人</w:t>
      </w:r>
      <w:r>
        <w:rPr>
          <w:rFonts w:hint="eastAsia" w:ascii="宋体" w:hAnsi="宋体" w:eastAsia="宋体" w:cs="宋体"/>
          <w:sz w:val="21"/>
          <w:szCs w:val="21"/>
          <w:lang w:eastAsia="zh-CN"/>
        </w:rPr>
        <w:t>”</w:t>
      </w:r>
      <w:r>
        <w:rPr>
          <w:rFonts w:hint="eastAsia" w:ascii="宋体" w:hAnsi="宋体" w:eastAsia="宋体" w:cs="宋体"/>
          <w:sz w:val="21"/>
          <w:szCs w:val="21"/>
        </w:rPr>
        <w:t>之间的科学教育不平等，AISTEC在设计时保留了基础版输出（纯文本方案、低成本材料），确保欠发达地区场馆也能受益。数据隐私风险涉及观众与数字人交互产生的数据，AISTEC在架构设计中明确观众交互数据仅本地存储、不上传云端，且数字人不采集生物特征数据（如人脸识别）。上述五类风险的识别与 mitigate 构成了AISTEC伦理治理的技术基础。</w:t>
      </w:r>
    </w:p>
    <w:p w14:paraId="3CD0BA5F">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二）</w:t>
      </w:r>
      <w:r>
        <w:rPr>
          <w:rFonts w:hint="eastAsia" w:ascii="宋体" w:hAnsi="宋体" w:eastAsia="宋体" w:cs="宋体"/>
          <w:sz w:val="21"/>
          <w:szCs w:val="21"/>
        </w:rPr>
        <w:t>治理框架</w:t>
      </w:r>
    </w:p>
    <w:p w14:paraId="38A59356">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AISTEC的治理框架建立在上述风险识别基础之上，涵盖五项基本原则。人机协作原则将AISTEC定位为</w:t>
      </w:r>
      <w:r>
        <w:rPr>
          <w:rFonts w:hint="eastAsia" w:ascii="宋体" w:hAnsi="宋体" w:eastAsia="宋体" w:cs="宋体"/>
          <w:sz w:val="21"/>
          <w:szCs w:val="21"/>
          <w:lang w:eastAsia="zh-CN"/>
        </w:rPr>
        <w:t>“</w:t>
      </w:r>
      <w:r>
        <w:rPr>
          <w:rFonts w:hint="eastAsia" w:ascii="宋体" w:hAnsi="宋体" w:eastAsia="宋体" w:cs="宋体"/>
          <w:sz w:val="21"/>
          <w:szCs w:val="21"/>
        </w:rPr>
        <w:t>辅导员的智能助手</w:t>
      </w:r>
      <w:r>
        <w:rPr>
          <w:rFonts w:hint="eastAsia" w:ascii="宋体" w:hAnsi="宋体" w:eastAsia="宋体" w:cs="宋体"/>
          <w:sz w:val="21"/>
          <w:szCs w:val="21"/>
          <w:lang w:eastAsia="zh-CN"/>
        </w:rPr>
        <w:t>”</w:t>
      </w:r>
      <w:r>
        <w:rPr>
          <w:rFonts w:hint="eastAsia" w:ascii="宋体" w:hAnsi="宋体" w:eastAsia="宋体" w:cs="宋体"/>
          <w:sz w:val="21"/>
          <w:szCs w:val="21"/>
        </w:rPr>
        <w:t>而非替代者，要求所有AI生成的内容必须经过人类专家终审方可面向公众，高风险活动（涉及化学、电、高温）必须人工复核安全预案，框架选择、UDL设计和评估检查点的生成需经教育专家确认。教育公平原则规定AISTEC内置的公平性审计和UDL设计检查不可关闭或绕过，所有活动方案必须通过UDL覆盖度（≥2.0/3）和公平性扫描（无性别刻板、有文化多样性示例、有低成本替代方案）方可输出。透明性原则要求所有AI生成的内容在展示时标注"AI辅助创作"及所使用的框架类型，数字人在与观众交互时明确告知其AI身份，准确性标注（</w:t>
      </w:r>
      <w:r>
        <w:rPr>
          <w:rStyle w:val="15"/>
          <w:rFonts w:hint="eastAsia" w:ascii="宋体" w:hAnsi="宋体" w:eastAsia="宋体" w:cs="宋体"/>
          <w:sz w:val="21"/>
          <w:szCs w:val="21"/>
        </w:rPr>
        <w:t>🔬📐🎭⚠️✅❌</w:t>
      </w:r>
      <w:r>
        <w:rPr>
          <w:rFonts w:hint="eastAsia" w:ascii="宋体" w:hAnsi="宋体" w:eastAsia="宋体" w:cs="宋体"/>
          <w:sz w:val="21"/>
          <w:szCs w:val="21"/>
        </w:rPr>
        <w:t>）保持可见以培养观众的科学批判思维。持续迭代原则建立"生成→使用→反馈→优化"的闭环，将观众的提问、辅导员的使用反馈与专家的修正意见自动回流至案例库，驱动模板持续进化。开源与共享原则鼓励科技馆将脱敏后的优质活动方案贡献至开源社区，形成共建共享的科普教育AI生态。</w:t>
      </w:r>
    </w:p>
    <w:p w14:paraId="4F776ED5">
      <w:pPr>
        <w:keepNext w:val="0"/>
        <w:keepLines w:val="0"/>
        <w:pageBreakBefore w:val="0"/>
        <w:widowControl/>
        <w:numPr>
          <w:numId w:val="0"/>
        </w:numPr>
        <w:kinsoku/>
        <w:wordWrap/>
        <w:overflowPunct/>
        <w:topLinePunct w:val="0"/>
        <w:autoSpaceDE/>
        <w:autoSpaceDN/>
        <w:bidi w:val="0"/>
        <w:adjustRightInd/>
        <w:snapToGrid/>
        <w:spacing w:before="0" w:after="0" w:line="240" w:lineRule="auto"/>
        <w:ind w:leftChars="0"/>
        <w:jc w:val="left"/>
        <w:textAlignment w:val="baseline"/>
        <w:outlineLvl w:val="9"/>
        <w:rPr>
          <w:rFonts w:hint="eastAsia" w:ascii="宋体" w:hAnsi="宋体" w:eastAsia="宋体" w:cs="宋体"/>
          <w:sz w:val="21"/>
          <w:szCs w:val="21"/>
          <w:lang w:val="en-US" w:eastAsia="zh-CN"/>
        </w:rPr>
      </w:pPr>
    </w:p>
    <w:p w14:paraId="26678765">
      <w:pPr>
        <w:pStyle w:val="3"/>
        <w:keepNext w:val="0"/>
        <w:keepLines w:val="0"/>
        <w:pageBreakBefore w:val="0"/>
        <w:widowControl/>
        <w:numPr>
          <w:numId w:val="0"/>
        </w:numPr>
        <w:kinsoku/>
        <w:wordWrap/>
        <w:overflowPunct/>
        <w:topLinePunct w:val="0"/>
        <w:autoSpaceDE/>
        <w:autoSpaceDN/>
        <w:bidi w:val="0"/>
        <w:adjustRightInd/>
        <w:snapToGrid/>
        <w:spacing w:before="0" w:after="0" w:line="240" w:lineRule="auto"/>
        <w:ind w:leftChars="0"/>
        <w:jc w:val="left"/>
        <w:textAlignment w:val="baseline"/>
        <w:rPr>
          <w:rFonts w:hint="eastAsia" w:ascii="宋体" w:hAnsi="宋体" w:eastAsia="宋体" w:cs="宋体"/>
          <w:sz w:val="21"/>
          <w:szCs w:val="21"/>
        </w:rPr>
      </w:pPr>
      <w:r>
        <w:rPr>
          <w:rFonts w:hint="eastAsia" w:ascii="宋体" w:hAnsi="宋体" w:eastAsia="宋体" w:cs="宋体"/>
          <w:sz w:val="21"/>
          <w:szCs w:val="21"/>
          <w:lang w:val="en-US" w:eastAsia="zh-CN"/>
        </w:rPr>
        <w:t>七、</w:t>
      </w:r>
      <w:r>
        <w:rPr>
          <w:rFonts w:hint="eastAsia" w:ascii="宋体" w:hAnsi="宋体" w:eastAsia="宋体" w:cs="宋体"/>
          <w:sz w:val="21"/>
          <w:szCs w:val="21"/>
        </w:rPr>
        <w:t>结论与展望</w:t>
      </w:r>
    </w:p>
    <w:p w14:paraId="284ACA0A">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一）</w:t>
      </w:r>
      <w:r>
        <w:rPr>
          <w:rFonts w:hint="eastAsia" w:ascii="宋体" w:hAnsi="宋体" w:eastAsia="宋体" w:cs="宋体"/>
          <w:sz w:val="21"/>
          <w:szCs w:val="21"/>
        </w:rPr>
        <w:t>研究结论</w:t>
      </w:r>
    </w:p>
    <w:p w14:paraId="78658B8F">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本文提出的 AISTEC 框架，通过整合研究脉络智能梳理（含CiteSpace/VOSviewer文献计量与PRISMA系统筛选）、教育活动知识解构（支持14种教学法框架的智能选择与UDL差异化设计）、模板模式九阶段迁移学习（含六维质量评分与公平性审计）三大技术模块，构建了面向科普场馆的AI驱动科学教育活动智能创作体系。其核心创新在于：</w:t>
      </w:r>
    </w:p>
    <w:p w14:paraId="794CD11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（1）将文献计量学方法（CiteSpace共被引网络、VOSviewer聚类分析、Kleinberg引用爆发检测、PRISMA系统筛选）引入AI知识验证流程，实现了从"人工检索"到"智能计量"的跨越；</w:t>
      </w:r>
    </w:p>
    <w:p w14:paraId="7ED2F12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（2）设计了框架智能选择引擎，支持14种教学法框架的自动匹配与流程生成，使AI系统首次具备教学设计的</w:t>
      </w:r>
      <w:r>
        <w:rPr>
          <w:rFonts w:hint="eastAsia" w:ascii="宋体" w:hAnsi="宋体" w:eastAsia="宋体" w:cs="宋体"/>
          <w:sz w:val="21"/>
          <w:szCs w:val="21"/>
          <w:lang w:eastAsia="zh-CN"/>
        </w:rPr>
        <w:t>“</w:t>
      </w:r>
      <w:r>
        <w:rPr>
          <w:rFonts w:hint="eastAsia" w:ascii="宋体" w:hAnsi="宋体" w:eastAsia="宋体" w:cs="宋体"/>
          <w:sz w:val="21"/>
          <w:szCs w:val="21"/>
        </w:rPr>
        <w:t>专业直觉</w:t>
      </w:r>
      <w:r>
        <w:rPr>
          <w:rFonts w:hint="eastAsia" w:ascii="宋体" w:hAnsi="宋体" w:eastAsia="宋体" w:cs="宋体"/>
          <w:sz w:val="21"/>
          <w:szCs w:val="21"/>
          <w:lang w:eastAsia="zh-CN"/>
        </w:rPr>
        <w:t>”</w:t>
      </w:r>
      <w:r>
        <w:rPr>
          <w:rFonts w:hint="eastAsia" w:ascii="宋体" w:hAnsi="宋体" w:eastAsia="宋体" w:cs="宋体"/>
          <w:sz w:val="21"/>
          <w:szCs w:val="21"/>
        </w:rPr>
        <w:t>；</w:t>
      </w:r>
    </w:p>
    <w:p w14:paraId="3D4CBAD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（3）将UDL差异化设计和形成性评估检查点强制嵌入活动生成流程，保障了教育公平性与学习效果的实时诊断；</w:t>
      </w:r>
    </w:p>
    <w:p w14:paraId="74E50A7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（4）将学术文献验证机制引入科普内容生成，建立了科学准确性的多层保障体系；</w:t>
      </w:r>
    </w:p>
    <w:p w14:paraId="294CE0E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（5）设计了九阶段多维质量分析机制（含公平性审计、成本效益分析、知识盲区识别），解决了科普教育领域知识沉淀困难的历史问题；</w:t>
      </w:r>
    </w:p>
    <w:p w14:paraId="4C167C4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（6）提出了多模态输出接口，打通了从文本方案到数字人、沉浸式体验、智能天象等多元形态的技术路径。</w:t>
      </w:r>
    </w:p>
    <w:p w14:paraId="136A3EDB">
      <w:pPr>
        <w:pStyle w:val="4"/>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二）</w:t>
      </w:r>
      <w:r>
        <w:rPr>
          <w:rFonts w:hint="eastAsia" w:ascii="宋体" w:hAnsi="宋体" w:eastAsia="宋体" w:cs="宋体"/>
          <w:sz w:val="21"/>
          <w:szCs w:val="21"/>
        </w:rPr>
        <w:t>未来展望</w:t>
      </w:r>
    </w:p>
    <w:p w14:paraId="630DBFD1">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AISTEC的演进方向涵盖五个维度。多模态融合升级方面，当前框架以文本生成为主，未来将整合图像生成（展品示意图、活动海报）、视频生成（实验演示视频、动画）与3D模型生成（可打印教具模型），实现从单一文本到全模态内容创作的跨越。个性化学习路径方面，系统将基于观众的年龄、知识背景、兴趣标签与能力特征（含特殊需求）动态生成个性化的展厅探索路线和活动方案，实现</w:t>
      </w:r>
      <w:r>
        <w:rPr>
          <w:rFonts w:hint="eastAsia" w:ascii="宋体" w:hAnsi="宋体" w:eastAsia="宋体" w:cs="宋体"/>
          <w:sz w:val="21"/>
          <w:szCs w:val="21"/>
          <w:lang w:eastAsia="zh-CN"/>
        </w:rPr>
        <w:t>“</w:t>
      </w:r>
      <w:r>
        <w:rPr>
          <w:rFonts w:hint="eastAsia" w:ascii="宋体" w:hAnsi="宋体" w:eastAsia="宋体" w:cs="宋体"/>
          <w:sz w:val="21"/>
          <w:szCs w:val="21"/>
        </w:rPr>
        <w:t>千人千面</w:t>
      </w:r>
      <w:r>
        <w:rPr>
          <w:rFonts w:hint="eastAsia" w:ascii="宋体" w:hAnsi="宋体" w:eastAsia="宋体" w:cs="宋体"/>
          <w:sz w:val="21"/>
          <w:szCs w:val="21"/>
          <w:lang w:eastAsia="zh-CN"/>
        </w:rPr>
        <w:t>”</w:t>
      </w:r>
      <w:r>
        <w:rPr>
          <w:rFonts w:hint="eastAsia" w:ascii="宋体" w:hAnsi="宋体" w:eastAsia="宋体" w:cs="宋体"/>
          <w:sz w:val="21"/>
          <w:szCs w:val="21"/>
        </w:rPr>
        <w:t>的科普教育服务。跨场馆知识网络方面，通过构建连接全国科技馆的知识图谱，当某馆设计特定主题活动时，系统自动推荐其他馆的优质案例、相关展品与合作专家，并基于文献计量分析推送最新的研究前沿。科学伦理前置审查方面，在生成阶段即嵌入科学伦理审查机制（如基因编辑活动的伦理边界、AI技术的社会影响讨论），使科普教育不仅传递知识，更培养公民的科学伦理意识，SSI框架的自动识别与生成能力将进一步强化这一方向。实时自适应教学方面，结合展厅内的传感器数据（观众停留时间、互动频率、表情识别），数字辅导员将实时调整讲解深度、切换UDL表征方式并插入形成性评估检查点，实现真正意义上的自适应教学。上述五个演进方向共同构成了AISTEC从当前文本生成工具向全面智能教育生态系统的升级路径。</w:t>
      </w:r>
    </w:p>
    <w:p w14:paraId="4CCECEB3">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baseline"/>
        <w:rPr>
          <w:rFonts w:hint="eastAsia" w:ascii="宋体" w:hAnsi="宋体" w:eastAsia="宋体" w:cs="宋体"/>
          <w:sz w:val="21"/>
          <w:szCs w:val="21"/>
        </w:rPr>
      </w:pPr>
      <w:r>
        <w:rPr>
          <w:rFonts w:hint="eastAsia" w:ascii="宋体" w:hAnsi="宋体" w:eastAsia="宋体" w:cs="宋体"/>
          <w:sz w:val="21"/>
          <w:szCs w:val="21"/>
        </w:rPr>
        <w:t>人工智能与科普教育的深度融合，正在开启科学传播的新纪元。AISTEC 框架为这一融合提供了可落地、可验证、可迭代的系统性方案，期待与更多科普工作者、技术开发者、教育研究者共同推动科学文化的繁荣发展。</w:t>
      </w:r>
    </w:p>
    <w:p w14:paraId="68792983">
      <w:pPr>
        <w:pStyle w:val="3"/>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rPr>
      </w:pPr>
    </w:p>
    <w:p w14:paraId="63F9DD0C">
      <w:pPr>
        <w:pStyle w:val="3"/>
        <w:keepNext w:val="0"/>
        <w:keepLines w:val="0"/>
        <w:pageBreakBefore w:val="0"/>
        <w:widowControl/>
        <w:kinsoku/>
        <w:wordWrap/>
        <w:overflowPunct/>
        <w:topLinePunct w:val="0"/>
        <w:autoSpaceDE/>
        <w:autoSpaceDN/>
        <w:bidi w:val="0"/>
        <w:adjustRightInd/>
        <w:snapToGrid/>
        <w:spacing w:before="0" w:after="0" w:line="240" w:lineRule="auto"/>
        <w:jc w:val="left"/>
        <w:textAlignment w:val="baseline"/>
        <w:rPr>
          <w:rFonts w:hint="eastAsia" w:ascii="宋体" w:hAnsi="宋体" w:eastAsia="宋体" w:cs="宋体"/>
          <w:sz w:val="21"/>
          <w:szCs w:val="21"/>
          <w:lang w:eastAsia="zh-CN"/>
        </w:rPr>
      </w:pPr>
      <w:r>
        <w:rPr>
          <w:rFonts w:hint="eastAsia" w:ascii="宋体" w:hAnsi="宋体" w:eastAsia="宋体" w:cs="宋体"/>
          <w:sz w:val="21"/>
          <w:szCs w:val="21"/>
        </w:rPr>
        <w:t>参考文献</w:t>
      </w:r>
      <w:r>
        <w:rPr>
          <w:rFonts w:hint="eastAsia" w:ascii="宋体" w:hAnsi="宋体" w:eastAsia="宋体" w:cs="宋体"/>
          <w:sz w:val="21"/>
          <w:szCs w:val="21"/>
          <w:lang w:eastAsia="zh-CN"/>
        </w:rPr>
        <w:t>：</w:t>
      </w:r>
    </w:p>
    <w:p w14:paraId="0EEB75B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 Bybee R W, et al. The BSCS 5E instructional model: Creating teachable moments[M]. NSTA Press, 2017.</w:t>
      </w:r>
    </w:p>
    <w:p w14:paraId="77A6E88D">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[2] Falk J H, Dierking L D. The museum experience revisited[M]. Routledge, 2016.</w:t>
      </w:r>
    </w:p>
    <w:p w14:paraId="1482EC1B">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[3] Brown T, et al. Language models are few-shot learners[J]. NeurIPS, 2020.</w:t>
      </w:r>
    </w:p>
    <w:p w14:paraId="4C4B9C4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[4] OpenAI. GPT-4 technical report[J]. arXiv preprint arXiv:2303.08774, 2023.</w:t>
      </w:r>
    </w:p>
    <w:p w14:paraId="19947436">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[5] Ji Z, et al. Survey of hallucination in natural language generation[J]. ACM Computing Surveys, 2023.</w:t>
      </w:r>
    </w:p>
    <w:p w14:paraId="7ABCC61E">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[6] 中国科学技术协会. 现代科技馆体系发展"十四五"规划（2021—2025年）[Z]. 2021.</w:t>
      </w:r>
    </w:p>
    <w:p w14:paraId="2809D331">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[7] 王渝生, 等. 科技馆教育活动设计理论与实践[M]. 科学出版社, 2019.</w:t>
      </w:r>
    </w:p>
    <w:p w14:paraId="1D0B1BA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[8] 李象益. 科普教育的创新与发展[J]. 科普研究, 2022, 17(3): 5-12.</w:t>
      </w:r>
    </w:p>
    <w:p w14:paraId="73491B0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[9] Wu J, et al. Large language models for science education: Opportunities and challenges[J]. Computers &amp; Education, 2023, 203: 104869.</w:t>
      </w:r>
    </w:p>
    <w:p w14:paraId="265F0662">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[10] Smith A, Lee B. AI-assisted experimental design in physics education[J]. Physical Review Physics Education Research, 2024, 20(1): 010152.</w:t>
      </w:r>
    </w:p>
    <w:p w14:paraId="628C3A1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 xml:space="preserve">[11] CAST. Universal Design for Learning Guidelines version 2.2[EB/OL].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"http://udlguidelines.cast.org" </w:instrText>
      </w:r>
      <w:r>
        <w:rPr>
          <w:rFonts w:hint="eastAsia" w:ascii="宋体" w:hAnsi="宋体" w:eastAsia="宋体" w:cs="宋体"/>
          <w:sz w:val="21"/>
          <w:szCs w:val="21"/>
        </w:rPr>
        <w:fldChar w:fldCharType="separate"/>
      </w:r>
      <w:r>
        <w:rPr>
          <w:rStyle w:val="11"/>
          <w:rFonts w:hint="eastAsia" w:ascii="宋体" w:hAnsi="宋体" w:eastAsia="宋体" w:cs="宋体"/>
          <w:sz w:val="21"/>
          <w:szCs w:val="21"/>
        </w:rPr>
        <w:t>http://udlguidelines.cast.org</w:t>
      </w:r>
      <w:r>
        <w:rPr>
          <w:rFonts w:hint="eastAsia" w:ascii="宋体" w:hAnsi="宋体" w:eastAsia="宋体" w:cs="宋体"/>
          <w:sz w:val="21"/>
          <w:szCs w:val="21"/>
        </w:rPr>
        <w:fldChar w:fldCharType="end"/>
      </w:r>
      <w:r>
        <w:rPr>
          <w:rFonts w:hint="eastAsia" w:ascii="宋体" w:hAnsi="宋体" w:eastAsia="宋体" w:cs="宋体"/>
          <w:sz w:val="21"/>
          <w:szCs w:val="21"/>
        </w:rPr>
        <w:t>, 2018.</w:t>
      </w:r>
    </w:p>
    <w:p w14:paraId="4CA37877">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[12] NGSS Lead States. Next Generation Science Standards: For states, by states[M]. National Academies Press, 2013.</w:t>
      </w:r>
    </w:p>
    <w:p w14:paraId="1DE13F9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[13] Chen C. CiteSpace II: Detecting and visualizing emerging trends and transient patterns in scientific literature[J]. Journal of the American Society for Information Science and Technology, 2006, 57(3): 359-377.</w:t>
      </w:r>
    </w:p>
    <w:p w14:paraId="28EA12E4">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[14] Van Eck N J, Waltman L. Software survey: VOSviewer, a computer program for bibliometric mapping[J]. Scientometrics, 2010, 84(2): 523-538.</w:t>
      </w:r>
    </w:p>
    <w:p w14:paraId="0C03163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[15] Page M J, et al. The PRISMA 2020 statement: An updated guideline for reporting systematic reviews[J]. BMJ, 2021, 372: n71.</w:t>
      </w:r>
    </w:p>
    <w:p w14:paraId="61BD888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[16] Kleinberg J. Bursty and hierarchical structure in streams[J]. Data Mining and Knowledge Discovery, 2003, 7(4): 373-397.</w:t>
      </w:r>
    </w:p>
    <w:p w14:paraId="78EC2758">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[17] Wiggins G, McTighe J. Understanding by design[M]. ASCD, 2005.</w:t>
      </w:r>
    </w:p>
    <w:p w14:paraId="0D3F7CDA">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[18] Sadler T D. Situated learning in science education: Socio-scientific issues as contexts for practice[J]. Studies in Science Education, 2009, 45(1): 1-42.</w:t>
      </w:r>
    </w:p>
    <w:p w14:paraId="33594EAC">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[19] White B, Gunstone R. Probing understanding[M]. Routledge, 2014. (POE模型)</w:t>
      </w:r>
    </w:p>
    <w:p w14:paraId="5D379AC0">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[20] Eisenkraft A. Expanding the 5E model[J]. The Science Teacher, 2003, 70(6): 56-59. (7E模型)</w:t>
      </w:r>
    </w:p>
    <w:p w14:paraId="65A88D33">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[21] Cuevas P, et al. The effect of the REACT teaching strategy on student achievement and attitude in science[J]. Journal of Science Teacher Education, 2005, 16(1): 63-82.</w:t>
      </w:r>
    </w:p>
    <w:p w14:paraId="7603A779">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r>
        <w:rPr>
          <w:rFonts w:hint="eastAsia" w:ascii="宋体" w:hAnsi="宋体" w:eastAsia="宋体" w:cs="宋体"/>
          <w:sz w:val="21"/>
          <w:szCs w:val="21"/>
        </w:rPr>
        <w:t>[22] Wiliam D, Black P. Inside the black box: Raising standards through classroom assessment[J]. Phi Delta Kappan, 1998, 80(2): 139-148.</w:t>
      </w:r>
    </w:p>
    <w:p w14:paraId="2078CCFF">
      <w:pPr>
        <w:keepNext w:val="0"/>
        <w:keepLines w:val="0"/>
        <w:pageBreakBefore w:val="0"/>
        <w:widowControl/>
        <w:kinsoku/>
        <w:wordWrap/>
        <w:overflowPunct/>
        <w:topLinePunct w:val="0"/>
        <w:autoSpaceDE/>
        <w:autoSpaceDN/>
        <w:bidi w:val="0"/>
        <w:adjustRightInd/>
        <w:snapToGrid/>
        <w:spacing w:line="240" w:lineRule="auto"/>
        <w:jc w:val="left"/>
        <w:textAlignment w:val="baseline"/>
        <w:rPr>
          <w:rFonts w:hint="eastAsia" w:ascii="宋体" w:hAnsi="宋体" w:eastAsia="宋体" w:cs="宋体"/>
          <w:sz w:val="21"/>
          <w:szCs w:val="21"/>
        </w:rPr>
      </w:pPr>
    </w:p>
    <w:sectPr>
      <w:pgSz w:w="14706" w:h="16838"/>
      <w:pgMar w:top="1440" w:right="1800" w:bottom="1440" w:left="1800"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0000000" w:usb3="00000000" w:csb0="00000001"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D6AE38"/>
    <w:multiLevelType w:val="singleLevel"/>
    <w:tmpl w:val="B2D6AE38"/>
    <w:lvl w:ilvl="0" w:tentative="0">
      <w:start w:val="1"/>
      <w:numFmt w:val="decimal"/>
      <w:suff w:val="space"/>
      <w:lvlText w:val="%1."/>
      <w:lvlJc w:val="left"/>
    </w:lvl>
  </w:abstractNum>
  <w:abstractNum w:abstractNumId="1">
    <w:nsid w:val="20000001"/>
    <w:multiLevelType w:val="singleLevel"/>
    <w:tmpl w:val="20000001"/>
    <w:lvl w:ilvl="0" w:tentative="0">
      <w:start w:val="1"/>
      <w:numFmt w:val="decimal"/>
      <w:pStyle w:val="17"/>
      <w:suff w:val="space"/>
      <w:lvlText w:val="%1 "/>
      <w:lvlJc w:val="right"/>
      <w:rPr>
        <w:rFonts w:ascii="微软雅黑" w:hAnsi="微软雅黑" w:eastAsia="微软雅黑" w:cs="微软雅黑"/>
        <w:color w:val="C0C6CF"/>
        <w:sz w:val="16"/>
      </w:rPr>
    </w:lvl>
  </w:abstractNum>
  <w:abstractNum w:abstractNumId="2">
    <w:nsid w:val="7F59E6AC"/>
    <w:multiLevelType w:val="singleLevel"/>
    <w:tmpl w:val="7F59E6AC"/>
    <w:lvl w:ilvl="0" w:tentative="0">
      <w:start w:val="1"/>
      <w:numFmt w:val="decimal"/>
      <w:suff w:val="space"/>
      <w:lvlText w:val="%1."/>
      <w:lvlJc w:val="left"/>
    </w:lvl>
  </w:abstractNum>
  <w:num w:numId="1">
    <w:abstractNumId w:val="1"/>
  </w:num>
  <w:num w:numId="2">
    <w:abstractNumId w:val="1"/>
    <w:lvlOverride w:ilvl="0">
      <w:startOverride w:val="1"/>
    </w:lvlOverride>
  </w:num>
  <w:num w:numId="3">
    <w:abstractNumId w:val="2"/>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460C2C"/>
    <w:rsid w:val="2D48632D"/>
    <w:rsid w:val="2E7768E3"/>
    <w:rsid w:val="38D53B87"/>
    <w:rsid w:val="44427364"/>
    <w:rsid w:val="4FDD4CC1"/>
    <w:rsid w:val="62204D60"/>
    <w:rsid w:val="705A6D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extAlignment w:val="baseline"/>
    </w:pPr>
    <w:rPr>
      <w:rFonts w:ascii="微软雅黑" w:hAnsi="微软雅黑" w:eastAsia="微软雅黑" w:cs="微软雅黑"/>
      <w:color w:val="080F17"/>
      <w:sz w:val="22"/>
    </w:rPr>
  </w:style>
  <w:style w:type="paragraph" w:styleId="2">
    <w:name w:val="heading 1"/>
    <w:basedOn w:val="1"/>
    <w:qFormat/>
    <w:uiPriority w:val="0"/>
    <w:pPr>
      <w:spacing w:before="390" w:after="120" w:line="634" w:lineRule="exact"/>
      <w:outlineLvl w:val="0"/>
    </w:pPr>
    <w:rPr>
      <w:b/>
      <w:sz w:val="38"/>
    </w:rPr>
  </w:style>
  <w:style w:type="paragraph" w:styleId="3">
    <w:name w:val="heading 2"/>
    <w:basedOn w:val="1"/>
    <w:qFormat/>
    <w:uiPriority w:val="0"/>
    <w:pPr>
      <w:spacing w:before="330" w:after="120" w:line="536" w:lineRule="exact"/>
      <w:outlineLvl w:val="1"/>
    </w:pPr>
    <w:rPr>
      <w:b/>
      <w:sz w:val="32"/>
    </w:rPr>
  </w:style>
  <w:style w:type="paragraph" w:styleId="4">
    <w:name w:val="heading 3"/>
    <w:basedOn w:val="1"/>
    <w:qFormat/>
    <w:uiPriority w:val="0"/>
    <w:pPr>
      <w:spacing w:before="300" w:after="120" w:line="488" w:lineRule="exact"/>
      <w:outlineLvl w:val="2"/>
    </w:pPr>
    <w:rPr>
      <w:b/>
      <w:sz w:val="30"/>
    </w:rPr>
  </w:style>
  <w:style w:type="paragraph" w:styleId="5">
    <w:name w:val="heading 4"/>
    <w:basedOn w:val="1"/>
    <w:qFormat/>
    <w:uiPriority w:val="0"/>
    <w:pPr>
      <w:spacing w:before="270" w:after="120" w:line="439" w:lineRule="exact"/>
      <w:outlineLvl w:val="3"/>
    </w:pPr>
    <w:rPr>
      <w:b/>
      <w:sz w:val="26"/>
    </w:rPr>
  </w:style>
  <w:style w:type="paragraph" w:styleId="6">
    <w:name w:val="heading 5"/>
    <w:basedOn w:val="1"/>
    <w:qFormat/>
    <w:uiPriority w:val="0"/>
    <w:pPr>
      <w:spacing w:before="240" w:after="120" w:line="390" w:lineRule="exact"/>
      <w:outlineLvl w:val="4"/>
    </w:pPr>
    <w:rPr>
      <w:b/>
      <w:sz w:val="22"/>
    </w:rPr>
  </w:style>
  <w:style w:type="paragraph" w:styleId="7">
    <w:name w:val="heading 6"/>
    <w:basedOn w:val="1"/>
    <w:qFormat/>
    <w:uiPriority w:val="0"/>
    <w:pPr>
      <w:spacing w:before="240" w:after="120" w:line="390" w:lineRule="exact"/>
      <w:outlineLvl w:val="5"/>
    </w:pPr>
    <w:rPr>
      <w:b/>
      <w:sz w:val="22"/>
    </w:rPr>
  </w:style>
  <w:style w:type="character" w:default="1" w:styleId="10">
    <w:name w:val="Default Paragraph Font"/>
    <w:autoRedefine/>
    <w:semiHidden/>
    <w:uiPriority w:val="0"/>
  </w:style>
  <w:style w:type="table" w:default="1" w:styleId="8">
    <w:name w:val="Normal Table"/>
    <w:autoRedefine/>
    <w:semiHidden/>
    <w:uiPriority w:val="0"/>
    <w:tblPr>
      <w:tblCellMar>
        <w:top w:w="0" w:type="dxa"/>
        <w:left w:w="108" w:type="dxa"/>
        <w:bottom w:w="0" w:type="dxa"/>
        <w:right w:w="108" w:type="dxa"/>
      </w:tblCellMar>
    </w:tblPr>
  </w:style>
  <w:style w:type="table" w:styleId="9">
    <w:name w:val="Table Grid"/>
    <w:qFormat/>
    <w:uiPriority w:val="0"/>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1">
    <w:name w:val="Hyperlink"/>
    <w:qFormat/>
    <w:uiPriority w:val="0"/>
    <w:rPr>
      <w:color w:val="0A6CFF"/>
      <w:u w:val="single" w:color="0A6CFF"/>
    </w:rPr>
  </w:style>
  <w:style w:type="paragraph" w:customStyle="1" w:styleId="12">
    <w:name w:val="MainTitle"/>
    <w:basedOn w:val="1"/>
    <w:qFormat/>
    <w:uiPriority w:val="0"/>
    <w:pPr>
      <w:pBdr>
        <w:bottom w:val="single" w:color="E2E6ED" w:sz="6" w:space="5"/>
      </w:pBdr>
      <w:spacing w:before="180" w:after="480" w:line="780" w:lineRule="exact"/>
    </w:pPr>
    <w:rPr>
      <w:b/>
      <w:sz w:val="44"/>
    </w:rPr>
  </w:style>
  <w:style w:type="character" w:customStyle="1" w:styleId="13">
    <w:name w:val="DateTime"/>
    <w:qFormat/>
    <w:uiPriority w:val="0"/>
    <w:rPr>
      <w:color w:val="0A6CFF"/>
    </w:rPr>
  </w:style>
  <w:style w:type="paragraph" w:customStyle="1" w:styleId="14">
    <w:name w:val="Blockquote"/>
    <w:basedOn w:val="1"/>
    <w:qFormat/>
    <w:uiPriority w:val="0"/>
    <w:pPr>
      <w:pBdr>
        <w:left w:val="single" w:color="E2E6ED" w:sz="36" w:space="12"/>
      </w:pBdr>
      <w:ind w:left="330" w:firstLine="0"/>
    </w:pPr>
    <w:rPr>
      <w:color w:val="767C85"/>
      <w:sz w:val="22"/>
    </w:rPr>
  </w:style>
  <w:style w:type="character" w:customStyle="1" w:styleId="15">
    <w:name w:val="Code"/>
    <w:qFormat/>
    <w:uiPriority w:val="0"/>
    <w:rPr>
      <w:bdr w:val="single" w:color="E2E6ED" w:sz="6" w:space="0"/>
    </w:rPr>
  </w:style>
  <w:style w:type="character" w:customStyle="1" w:styleId="16">
    <w:name w:val="Emoji"/>
    <w:qFormat/>
    <w:uiPriority w:val="0"/>
    <w:rPr>
      <w:rFonts w:ascii="Segoe UI Emoji" w:hAnsi="Segoe UI Emoji" w:eastAsia="Segoe UI Emoji" w:cs="Segoe UI Emoji"/>
    </w:rPr>
  </w:style>
  <w:style w:type="paragraph" w:customStyle="1" w:styleId="17">
    <w:name w:val="CodeBlock"/>
    <w:basedOn w:val="1"/>
    <w:qFormat/>
    <w:uiPriority w:val="0"/>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customStyle="1" w:styleId="18">
    <w:name w:val="HighlightBlock"/>
    <w:qFormat/>
    <w:uiPriority w:val="0"/>
    <w:tblPr>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tblCellMar>
        <w:left w:w="108" w:type="dxa"/>
        <w:right w:w="108" w:type="dxa"/>
      </w:tblCellMar>
    </w:tblPr>
  </w:style>
  <w:style w:type="paragraph" w:customStyle="1" w:styleId="19">
    <w:name w:val="Seperate"/>
    <w:basedOn w:val="1"/>
    <w:qFormat/>
    <w:uiPriority w:val="0"/>
    <w:pPr>
      <w:spacing w:before="0" w:after="0" w:line="120" w:lineRule="exac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18175</Words>
  <Characters>23237</Characters>
  <TotalTime>69</TotalTime>
  <ScaleCrop>false</ScaleCrop>
  <LinksUpToDate>false</LinksUpToDate>
  <CharactersWithSpaces>24325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2026-07-04T23:28:00Z</dcterms:created>
  <dc:creator>webotl</dc:creator>
  <cp:lastModifiedBy>清风听雨</cp:lastModifiedBy>
  <dcterms:modified xsi:type="dcterms:W3CDTF">2026-07-04T16:41:38Z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KSOTemplateDocerSaveRecord">
    <vt:lpwstr>eyJoZGlkIjoiZjk2NzM3ZjI4ZTc0N2UyMjM0MGJkOGYxY2U5ZDlkNjQiLCJ1c2VySWQiOiIxMTI1NzI4NzA1In0=</vt:lpwstr>
  </property>
  <property fmtid="{D5CDD505-2E9C-101B-9397-08002B2CF9AE}" pid="4" name="KSOProductBuildVer">
    <vt:lpwstr>2052-12.1.0.26895</vt:lpwstr>
  </property>
  <property fmtid="{D5CDD505-2E9C-101B-9397-08002B2CF9AE}" pid="5" name="ICV">
    <vt:lpwstr>8E2E1209499B457E96C6D03BB165A776_12</vt:lpwstr>
  </property>
</Properties>
</file>