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1710990d7101468b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2468131f49be439e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5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科技馆教育活动</w:t>
      </w:r>
    </w:p>
    <w:p>
      <w:pPr>
        <w:spacing w:after="4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评估指标权重分配方案</w:t>
      </w:r>
    </w:p>
    <w:p>
      <w:pPr>
        <w:spacing w:after="200"/>
        <w:ind w:left="1200" w:right="1200"/>
      </w:pPr>
      <w:r>
        <w:rPr>
          <w:rFonts w:ascii="Calibri" w:hAnsi="Calibri" w:eastAsia="Microsoft YaHei"/>
          <w:color w:val="B8D4E3"/>
          <w:spacing w:val="20"/>
          <w:sz w:val="28"/>
        </w:rPr>
        <w:t>附录A 指标权重设计与说明</w:t>
      </w:r>
    </w:p>
    <w:p>
      <w:pPr>
        <w:spacing w:before="3000"/>
        <w:ind w:left="1200"/>
      </w:pPr>
      <w:r>
        <w:rPr>
          <w:rFonts w:ascii="Calibri" w:hAnsi="Calibri" w:eastAsia="Microsoft YaHei"/>
          <w:color w:val="7BA3B8"/>
          <w:sz w:val="20"/>
        </w:rPr>
        <w:t>2026年7月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  录</w:t>
      </w:r>
      <w:bookmarkStart w:name="_Toc" w:id="1"/>
      <w:bookmarkEnd w:id="1"/>
    </w:p>
    <w:p>
      <w:pPr>
        <w:spacing w:after="300"/>
      </w:pPr>
      <w:r>
        <w:rPr>
          <w:rFonts w:ascii="Calibri" w:hAnsi="Calibri" w:eastAsia="Microsoft YaHei"/>
          <w:color w:val="8FA8B5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附录A 科技馆教育活动评估指标及指标权重</w:t>
      </w:r>
      <w:r>
        <w:tab/>
      </w:r>
      <w:r>
        <w:t>3</w:t>
      </w:r>
    </w:p>
    <w:p>
      <w:pPr>
        <w:pStyle w:val="TOC1"/>
      </w:pPr>
      <w:r>
        <w:t>权重分配说明</w:t>
      </w:r>
      <w:r>
        <w:tab/>
      </w:r>
      <w:r>
        <w:t>6</w:t>
      </w:r>
    </w:p>
    <w:p>
      <w:pPr>
        <w:pStyle w:val="TOC2"/>
      </w:pPr>
      <w:r>
        <w:t>一、总体设计思路</w:t>
      </w:r>
      <w:r>
        <w:tab/>
      </w:r>
      <w:r>
        <w:t>6</w:t>
      </w:r>
    </w:p>
    <w:p>
      <w:pPr>
        <w:pStyle w:val="TOC2"/>
      </w:pPr>
      <w:r>
        <w:t>二、一级指标权重分配及解释</w:t>
      </w:r>
      <w:r>
        <w:tab/>
      </w:r>
      <w:r>
        <w:t>6</w:t>
      </w:r>
    </w:p>
    <w:p>
      <w:pPr>
        <w:pStyle w:val="TOC2"/>
      </w:pPr>
      <w:r>
        <w:t>三、二级指标权重分配及解释</w:t>
      </w:r>
      <w:r>
        <w:tab/>
      </w:r>
      <w:r>
        <w:t>7</w:t>
      </w:r>
    </w:p>
    <w:p>
      <w:pPr>
        <w:pStyle w:val="TOC2"/>
      </w:pPr>
      <w:r>
        <w:t>四、三级指标权重分配说明</w:t>
      </w:r>
      <w:r>
        <w:tab/>
      </w:r>
      <w:r>
        <w:t>8</w:t>
      </w:r>
    </w:p>
    <w:p>
      <w:pPr>
        <w:pStyle w:val="TOC2"/>
      </w:pPr>
      <w:r>
        <w:t>五、权重合理性验证</w:t>
      </w:r>
      <w:r>
        <w:tab/>
      </w:r>
      <w:r>
        <w:t>9</w:t>
      </w:r>
    </w:p>
    <w:p>
      <w:pPr>
        <w:pStyle w:val="TOC2"/>
      </w:pPr>
      <w:r>
        <w:t>六、与国家标准及相关规范的衔接说明</w:t>
      </w:r>
      <w:r>
        <w:tab/>
      </w:r>
      <w:r>
        <w:t>9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200" w:bottom="1440" w:left="1200" w:header="720" w:footer="720"/>
        </w:sectPr>
      </w:pPr>
    </w:p>
    <w:p>
      <w:pPr>
        <w:pStyle w:val="Heading1"/>
      </w:pPr>
      <w:r>
        <w:t>附录A 科技馆教育活动评估指标及指标权重</w:t>
      </w:r>
      <w:bookmarkStart w:name="_Toc_AppA" w:id="2"/>
      <w:bookmarkEnd w:id="2"/>
    </w:p>
    <w:p>
      <w:r>
        <w:t>本附录规定了科技馆教育活动评估的各项指标及其权重分配方案。评估采取百分制计分，所有三级指标权重之和为1.000。</w:t>
      </w:r>
    </w:p>
    <w:tbl>
      <w:tblPr>
        <w:tblW w:w="5000" w:type="pct"/>
        <w:tblBorders>
          <w:top w:val="single" w:color="2C5F7C" w:sz="12"/>
          <w:left w:val="single" w:color="C8D8E0" w:sz="4"/>
          <w:bottom w:val="single" w:color="2C5F7C" w:sz="12"/>
          <w:right w:val="single" w:color="C8D8E0" w:sz="4"/>
          <w:insideH w:val="single" w:color="C8D8E0" w:sz="4"/>
          <w:insideV w:val="single" w:color="C8D8E0" w:sz="4"/>
        </w:tblBorders>
      </w:tblPr>
      <w:tblGrid>
        <w:gridCol w:w="900"/>
        <w:gridCol w:w="1000"/>
        <w:gridCol w:w="1900"/>
        <w:gridCol w:w="3600"/>
        <w:gridCol w:w="700"/>
      </w:tblGrid>
      <w:tr>
        <w:trPr>
          <w:tblHeader/>
        </w:trPr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一级指标</w:t>
            </w:r>
          </w:p>
        </w:tc>
        <w:tc>
          <w:tcPr>
            <w:tcW w:w="10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二级指标</w:t>
            </w:r>
          </w:p>
        </w:tc>
        <w:tc>
          <w:tcPr>
            <w:tcW w:w="1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三级指标</w:t>
            </w:r>
          </w:p>
        </w:tc>
        <w:tc>
          <w:tcPr>
            <w:tcW w:w="36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指标核心内涵</w:t>
            </w:r>
          </w:p>
        </w:tc>
        <w:tc>
          <w:tcPr>
            <w:tcW w:w="7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权重</w:t>
            </w:r>
          </w:p>
        </w:tc>
      </w:tr>
      <w:tr>
        <w:tc>
          <w:tcPr>
            <w:tcW w:w="9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>1.活动设计</w:t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1.1展品适配性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1.1.1展品关联度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内容紧密围绕展品核心科学原理与互动方式，不脱离展品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0.030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1.1.2内涵挖掘度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对展品背后的科学原理、技术脉络、工程价值、人文内涵的挖掘深度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0.030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1.1.3互动探究性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能引导观众观察操作展品、思考，激发进一步探究的兴趣，而非单向灌输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1.2内容质量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1.2.1知识丰富性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呈现的知识内容兼具广度与深度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1.2.2逻辑清晰度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内容层次分明，推导逻辑清晰，重点突出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1.2.3现实关联度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能联系现实生活、社会问题或实际应用，体现科学价值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1.2.4主题吸引力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主题新颖有时代感，能引起兴趣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1.2.5内容充实度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信息量适当，层次多元，生动有趣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1.3设计规范性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1.3.1目标明确性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有清晰、具体、可达成知识或情感目标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0.014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1.3.2流程完整性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有规范的全流程，环节完整无缺失（含导入、主体、总结等）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0.014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1.3.3环节合理性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各环节时长分配合理，衔接自然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0.014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1.3.4认知适配性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内容深浅、表达方式符合观众年龄特点和认知水平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0.014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1.3.5方案实操性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活动方案可落地执行，人力物力配置合理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0.014</w:t>
            </w:r>
          </w:p>
        </w:tc>
      </w:tr>
      <w:tr>
        <w:tc>
          <w:tcPr>
            <w:tcW w:w="9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>2.活动实施</w:t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2.1讲解呈现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2.1.1表达清晰度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语言通俗易懂，语速音量适中，吐字清晰，节奏适宜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0.055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2.1.2表达感染力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语言生动，富有热情，能通过肢体语言、眼神交流、提问等方式吸引观众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0.045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2.2现场组织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2.2.1辅助手段运用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恰当使用教具、多媒体、肢体语言等辅助手段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0.025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2.2.2秩序维护效果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能引导观众站位、流动，避免拥堵，保障观展体验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0.025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2.2.3安全保障性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能明确提示活动中的安全注意事项，并能预见和制止潜在危险行为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0.025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2.2.4方案落实度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活动执行与设计方案一致，设计环节100%呈现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0.025</w:t>
            </w:r>
          </w:p>
        </w:tc>
      </w:tr>
      <w:tr>
        <w:tc>
          <w:tcPr>
            <w:tcW w:w="9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>3.受众参与</w:t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3.1参与广度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3.1.1观众留存表现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能吸引并留住观众，观众中途离开率低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0.040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3.1.2现场氛围效果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活动现场气氛活跃、轻松，观众表现出兴趣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0.040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3.2参与深度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3.2.1互动响应率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观众对活动中的提问、邀请做出积极回应的比例高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0.060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3.2.2回应有效度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观众能提出有意义的问题或表达有见地的感想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0.060</w:t>
            </w:r>
          </w:p>
        </w:tc>
      </w:tr>
      <w:tr>
        <w:tc>
          <w:tcPr>
            <w:tcW w:w="9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>4.教育成效</w:t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4.1兴趣激发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4.1.1深入探究意愿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观众愿意参与同类型活动或主动搜索相关知识的意愿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0.050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4.1.2正向推荐意愿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观众愿意向亲友推荐该活动的意愿程度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0.050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4.2学习成果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4.2.1知识掌握度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观众能复述或解释核心科学概念及原理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0.080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4.2.2技能启发性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观众能够将所学的知识进行内化，并在实际问题情境中加以运用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0.070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 w:val="restart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>4.3科学态度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4.3.1科学事业认同感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观众能认识到科学事业对社会发展的积极作用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0.050</w:t>
            </w:r>
          </w:p>
        </w:tc>
      </w:tr>
      <w:tr>
        <w:tc>
          <w:tcPr>
            <w:tcW w:w="9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18"/>
              </w:rPr>
              <w:t/>
            </w:r>
          </w:p>
        </w:tc>
        <w:tc>
          <w:tcPr>
            <w:tcW w:w="1000" w:type="dxa"/>
            <w:vMerge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color w:val="3D6275"/>
                <w:sz w:val="18"/>
              </w:rPr>
              <w:t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E3A4C"/>
                <w:sz w:val="18"/>
              </w:rPr>
              <w:t>4.3.2科学精神传递度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18"/>
              </w:rPr>
              <w:t>观众愿意向他人传递科学精神</w:t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C5F7C"/>
                <w:sz w:val="18"/>
              </w:rPr>
              <w:t>0.050</w:t>
            </w:r>
          </w:p>
        </w:tc>
      </w:tr>
    </w:tbl>
    <w:p>
      <w:pPr>
        <w:pageBreakBefore/>
      </w:pPr>
    </w:p>
    <w:p>
      <w:pPr>
        <w:pStyle w:val="Heading1"/>
      </w:pPr>
      <w:r>
        <w:t>权重分配说明</w:t>
      </w:r>
      <w:bookmarkStart w:name="_Toc_Explain" w:id="3"/>
      <w:bookmarkEnd w:id="3"/>
    </w:p>
    <w:p>
      <w:pPr>
        <w:pStyle w:val="Heading2"/>
      </w:pPr>
      <w:r>
        <w:t>一、总体设计思路</w:t>
      </w:r>
    </w:p>
    <w:p>
      <w:r>
        <w:t>本权重体系采用"结果导向、过程保障、基础支撑"的三层逻辑，参照国际通用的教育评估CIPP模型（Context-Input-Process-Product）以及柯氏四级评估模型（反应层-学习层-行为层-结果层），结合科技馆教育活动的特殊性进行设计。总权重满足归一化要求：所有三级指标权重之和为1.000。</w:t>
      </w:r>
    </w:p>
    <w:p>
      <w:pPr>
        <w:pStyle w:val="Heading2"/>
      </w:pPr>
      <w:r>
        <w:t>二、一级指标权重分配及解释</w:t>
      </w:r>
    </w:p>
    <w:tbl>
      <w:tblPr>
        <w:tblW w:w="5000" w:type="pct"/>
        <w:tblBorders>
          <w:top w:val="single" w:color="2C5F7C" w:sz="12"/>
          <w:left w:val="nil"/>
          <w:bottom w:val="single" w:color="2C5F7C" w:sz="12"/>
          <w:right w:val="nil"/>
          <w:insideH w:val="single" w:color="C8D8E0" w:sz="4"/>
          <w:insideV w:val="nil"/>
        </w:tblBorders>
      </w:tblPr>
      <w:tblGrid>
        <w:gridCol w:w="1800"/>
        <w:gridCol w:w="1000"/>
        <w:gridCol w:w="6200"/>
      </w:tblGrid>
      <w:tr>
        <w:trPr>
          <w:tblHeader/>
        </w:trPr>
        <w:tc>
          <w:tcPr>
            <w:tcW w:w="18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一级指标</w:t>
            </w:r>
          </w:p>
        </w:tc>
        <w:tc>
          <w:tcPr>
            <w:tcW w:w="10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权重</w:t>
            </w:r>
          </w:p>
        </w:tc>
        <w:tc>
          <w:tcPr>
            <w:tcW w:w="62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分配依据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活动设计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0.25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"好的设计是成功的一半"，活动设计是教育成效的前提基础和决定性因素。根据教育干预理论，前期设计的科学性直接制约着最终效果的天花板，体现其基础性地位。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活动实施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0.20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活动实施是连接设计与成效的关键桥梁，属于过程质量保障。再优秀的设计若执行不到位也难以产生理想效果，既体现过程保障性，又避免过程导向过度而忽视结果。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受众参与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0.20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受众参与是教育活动的中间产出，是教育活动有效性的直接表征。学习科学研究表明，深度参与是有效学习的必要条件，体现"以观众为中心"的参与式学习理念。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教育成效</w:t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0.35</w:t>
            </w:r>
          </w:p>
        </w:tc>
        <w:tc>
          <w:tcPr>
            <w:tcW w:w="62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教育成效是教育活动的最终价值体现，是评估的核心指向。《GB/T 45952-2025》将教育功能实现作为科技馆评估的首要目标，体现鲜明的结果导向性。</w:t>
            </w:r>
          </w:p>
        </w:tc>
      </w:tr>
    </w:tbl>
    <w:p>
      <w:pPr>
        <w:pStyle w:val="Heading2"/>
      </w:pPr>
      <w:r>
        <w:t>三、二级指标权重分配及解释</w:t>
      </w:r>
    </w:p>
    <w:p>
      <w:pPr>
        <w:pStyle w:val="Heading3"/>
      </w:pPr>
      <w:r>
        <w:t>（一）活动设计（合计0.25）</w:t>
      </w:r>
    </w:p>
    <w:tbl>
      <w:tblPr>
        <w:tblW w:w="5000" w:type="pct"/>
        <w:tblBorders>
          <w:top w:val="single" w:color="2C5F7C" w:sz="12"/>
          <w:left w:val="nil"/>
          <w:bottom w:val="single" w:color="2C5F7C" w:sz="12"/>
          <w:right w:val="nil"/>
          <w:insideH w:val="single" w:color="C8D8E0" w:sz="4"/>
          <w:insideV w:val="nil"/>
        </w:tblBorders>
      </w:tblPr>
      <w:tblGrid>
        <w:gridCol w:w="1400"/>
        <w:gridCol w:w="900"/>
        <w:gridCol w:w="900"/>
        <w:gridCol w:w="5800"/>
      </w:tblGrid>
      <w:tr>
        <w:trPr>
          <w:tblHeader/>
        </w:trPr>
        <w:tc>
          <w:tcPr>
            <w:tcW w:w="14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二级指标</w:t>
            </w:r>
          </w:p>
        </w:tc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权重</w:t>
            </w:r>
          </w:p>
        </w:tc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内部占比</w:t>
            </w:r>
          </w:p>
        </w:tc>
        <w:tc>
          <w:tcPr>
            <w:tcW w:w="58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分配依据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展品适配性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0.08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32%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科技馆教育活动的核心特征是"基于展品"，展品是科技馆教育区别于其他科普形式的本质要素，直接关系到教育活动能否体现科技馆的特色与优势。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内容质量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0.10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40%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内容是教育活动的灵魂。无论形式如何创新，知识传递的准确性、丰富性和吸引力始终是教育活动的核心价值所在。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设计规范性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0.07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28%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设计规范性是活动从方案到实施的制度保障，包括目标、流程、认知适配等，属于操作层面的保障条件。</w:t>
            </w:r>
          </w:p>
        </w:tc>
      </w:tr>
    </w:tbl>
    <w:p>
      <w:pPr>
        <w:pStyle w:val="Heading3"/>
      </w:pPr>
      <w:r>
        <w:t>（二）活动实施（合计0.20）</w:t>
      </w:r>
    </w:p>
    <w:tbl>
      <w:tblPr>
        <w:tblW w:w="5000" w:type="pct"/>
        <w:tblBorders>
          <w:top w:val="single" w:color="2C5F7C" w:sz="12"/>
          <w:left w:val="nil"/>
          <w:bottom w:val="single" w:color="2C5F7C" w:sz="12"/>
          <w:right w:val="nil"/>
          <w:insideH w:val="single" w:color="C8D8E0" w:sz="4"/>
          <w:insideV w:val="nil"/>
        </w:tblBorders>
      </w:tblPr>
      <w:tblGrid>
        <w:gridCol w:w="1400"/>
        <w:gridCol w:w="900"/>
        <w:gridCol w:w="900"/>
        <w:gridCol w:w="5800"/>
      </w:tblGrid>
      <w:tr>
        <w:trPr>
          <w:tblHeader/>
        </w:trPr>
        <w:tc>
          <w:tcPr>
            <w:tcW w:w="14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二级指标</w:t>
            </w:r>
          </w:p>
        </w:tc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权重</w:t>
            </w:r>
          </w:p>
        </w:tc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内部占比</w:t>
            </w:r>
          </w:p>
        </w:tc>
        <w:tc>
          <w:tcPr>
            <w:tcW w:w="58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分配依据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讲解呈现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0.10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50%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科普辅导员的讲解是教育活动信息传递的主要渠道，其清晰度与感染力直接决定观众的接受效果，在现场执行中具有核心地位。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现场组织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0.10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50%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现场组织涵盖辅助手段、秩序维护、安全保障和方案落实，涉及维度多元，与讲解呈现同等重要。</w:t>
            </w:r>
          </w:p>
        </w:tc>
      </w:tr>
    </w:tbl>
    <w:p>
      <w:pPr>
        <w:pStyle w:val="Heading3"/>
      </w:pPr>
      <w:r>
        <w:t>（三）受众参与（合计0.20）</w:t>
      </w:r>
    </w:p>
    <w:tbl>
      <w:tblPr>
        <w:tblW w:w="5000" w:type="pct"/>
        <w:tblBorders>
          <w:top w:val="single" w:color="2C5F7C" w:sz="12"/>
          <w:left w:val="nil"/>
          <w:bottom w:val="single" w:color="2C5F7C" w:sz="12"/>
          <w:right w:val="nil"/>
          <w:insideH w:val="single" w:color="C8D8E0" w:sz="4"/>
          <w:insideV w:val="nil"/>
        </w:tblBorders>
      </w:tblPr>
      <w:tblGrid>
        <w:gridCol w:w="1400"/>
        <w:gridCol w:w="900"/>
        <w:gridCol w:w="900"/>
        <w:gridCol w:w="5800"/>
      </w:tblGrid>
      <w:tr>
        <w:trPr>
          <w:tblHeader/>
        </w:trPr>
        <w:tc>
          <w:tcPr>
            <w:tcW w:w="14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二级指标</w:t>
            </w:r>
          </w:p>
        </w:tc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权重</w:t>
            </w:r>
          </w:p>
        </w:tc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内部占比</w:t>
            </w:r>
          </w:p>
        </w:tc>
        <w:tc>
          <w:tcPr>
            <w:tcW w:w="58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分配依据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参与广度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0.08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40%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参与广度反映活动的吸引力与覆盖面，包括观众留存和现场氛围，是参与的基础层面。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参与深度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0.12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60%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参与深度反映观众在认知和情感上的实际投入。根据学习科学，深度参与是高质量学习的必要条件，权重高于广度。</w:t>
            </w:r>
          </w:p>
        </w:tc>
      </w:tr>
    </w:tbl>
    <w:p>
      <w:pPr>
        <w:pStyle w:val="Heading3"/>
      </w:pPr>
      <w:r>
        <w:t>（四）教育成效（合计0.35）</w:t>
      </w:r>
    </w:p>
    <w:tbl>
      <w:tblPr>
        <w:tblW w:w="5000" w:type="pct"/>
        <w:tblBorders>
          <w:top w:val="single" w:color="2C5F7C" w:sz="12"/>
          <w:left w:val="nil"/>
          <w:bottom w:val="single" w:color="2C5F7C" w:sz="12"/>
          <w:right w:val="nil"/>
          <w:insideH w:val="single" w:color="C8D8E0" w:sz="4"/>
          <w:insideV w:val="nil"/>
        </w:tblBorders>
      </w:tblPr>
      <w:tblGrid>
        <w:gridCol w:w="1400"/>
        <w:gridCol w:w="900"/>
        <w:gridCol w:w="900"/>
        <w:gridCol w:w="5800"/>
      </w:tblGrid>
      <w:tr>
        <w:trPr>
          <w:tblHeader/>
        </w:trPr>
        <w:tc>
          <w:tcPr>
            <w:tcW w:w="14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二级指标</w:t>
            </w:r>
          </w:p>
        </w:tc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权重</w:t>
            </w:r>
          </w:p>
        </w:tc>
        <w:tc>
          <w:tcPr>
            <w:tcW w:w="9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内部占比</w:t>
            </w:r>
          </w:p>
        </w:tc>
        <w:tc>
          <w:tcPr>
            <w:tcW w:w="58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分配依据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兴趣激发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0.10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28.6%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兴趣是持续学习的内在动力，科技馆教育的重要使命之一是激发公众对科学的兴趣，属于情感态度层面的短期效果。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学习成果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0.15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42.8%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学习成果是教育活动最直接、最核心的产出，包括知识掌握与技能启发，是衡量教育活动有效性的硬指标。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科学态度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0.10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28.6%</w:t>
            </w:r>
          </w:p>
        </w:tc>
        <w:tc>
          <w:tcPr>
            <w:tcW w:w="58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科学态度（事业认同感与精神传递意愿）是科技馆教育的长远目标，是科学素养的重要组成部分。</w:t>
            </w:r>
          </w:p>
        </w:tc>
      </w:tr>
    </w:tbl>
    <w:p>
      <w:pPr>
        <w:pStyle w:val="Heading2"/>
      </w:pPr>
      <w:r>
        <w:t>四、三级指标权重分配说明</w:t>
      </w:r>
    </w:p>
    <w:p>
      <w:r>
        <w:t>三级指标权重在同一二级指标内部进行分配，遵循以下原则：</w:t>
      </w:r>
    </w:p>
    <w:p>
      <w:pPr>
        <w:ind w:left="720" w:hanging="360" w:firstLine="0"/>
      </w:pPr>
      <w:r>
        <w:t>•  指标数量均衡原则：当同一二级指标下的各三级指标重要性相近时，采用均等分配方式。例如内容质量（0.10）下的5个三级指标各分配0.020；设计规范性（0.07）下的5个三级指标各分配0.014。</w:t>
      </w:r>
    </w:p>
    <w:p>
      <w:pPr>
        <w:ind w:left="720" w:hanging="360" w:firstLine="0"/>
      </w:pPr>
      <w:r>
        <w:t>•  重要性差异原则：当三级指标存在明显的主次关系时，按重要性差异分配。例如讲解呈现中，表达清晰度（0.055）略高于表达感染力（0.045），因为"清晰"是信息传递的基础要求，"感染"是提升手段；学习成果中，知识掌握度（0.080）略高于技能启发性（0.070），因为知识掌握是技能迁移的基础前提。</w:t>
      </w:r>
    </w:p>
    <w:p>
      <w:pPr>
        <w:pStyle w:val="Heading2"/>
      </w:pPr>
      <w:r>
        <w:t>五、权重合理性验证</w:t>
      </w:r>
    </w:p>
    <w:tbl>
      <w:tblPr>
        <w:tblW w:w="5000" w:type="pct"/>
        <w:tblBorders>
          <w:top w:val="single" w:color="2C5F7C" w:sz="12"/>
          <w:left w:val="nil"/>
          <w:bottom w:val="single" w:color="2C5F7C" w:sz="12"/>
          <w:right w:val="nil"/>
          <w:insideH w:val="single" w:color="C8D8E0" w:sz="4"/>
          <w:insideV w:val="nil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验证项目</w:t>
            </w:r>
          </w:p>
        </w:tc>
        <w:tc>
          <w:tcPr>
            <w:tcW w:w="6600" w:type="dxa"/>
            <w:shd w:val="clear" w:fill="E8F0F4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E3A4C"/>
                <w:sz w:val="20"/>
              </w:rPr>
              <w:t>验证结果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归一性验证</w:t>
            </w:r>
          </w:p>
        </w:tc>
        <w:tc>
          <w:tcPr>
            <w:tcW w:w="6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所有30个三级指标权重之和 = 1.000 ✓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层级一致性</w:t>
            </w:r>
          </w:p>
        </w:tc>
        <w:tc>
          <w:tcPr>
            <w:tcW w:w="6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各二级指标权重之和等于对应一级指标权重 ✓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取值规范性</w:t>
            </w:r>
          </w:p>
        </w:tc>
        <w:tc>
          <w:tcPr>
            <w:tcW w:w="6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所有权重值均在(0,1]区间内 ✓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梯度合理性</w:t>
            </w:r>
          </w:p>
        </w:tc>
        <w:tc>
          <w:tcPr>
            <w:tcW w:w="6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一级指标形成"成效(0.35) &gt; 设计(0.25) &gt; 实施(0.20) = 参与(0.20)"的合理梯度 ✓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结构均衡性</w:t>
            </w:r>
          </w:p>
        </w:tc>
        <w:tc>
          <w:tcPr>
            <w:tcW w:w="6600" w:type="dxa"/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3D6275"/>
                <w:sz w:val="20"/>
              </w:rPr>
              <w:t>避免个别指标权重过大(&gt;0.10)或过小(&lt;0.01)，分布合理 ✓</w:t>
            </w:r>
          </w:p>
        </w:tc>
      </w:tr>
    </w:tbl>
    <w:p>
      <w:pPr>
        <w:pStyle w:val="Heading2"/>
      </w:pPr>
      <w:r>
        <w:t>六、与国家标准及相关规范的衔接说明</w:t>
      </w:r>
    </w:p>
    <w:p>
      <w:r>
        <w:t>（一）与GB/T 45952-2025的衔接：本权重体系将"教育成效"置于最高优先级（35%），与《科技馆运行评估规范》中"教育功能"作为科技馆首要功能的定位一致。</w:t>
      </w:r>
    </w:p>
    <w:p>
      <w:r>
        <w:t>（二）百分制计分兼容：本权重体系与文件第7.4条规定的百分制计分方式完全兼容。计算公式 S = Σ(wᵢ × sᵢ) 中，wᵢ为本方案所赋权重，sᵢ为各三级指标的百分制评分（0-100分），最终得分S的取值范围仍为0-100分，与等级划分标准无缝对应。</w:t>
      </w:r>
    </w:p>
    <w:p>
      <w:r>
        <w:t>（三）灵活调整空间：若评估侧重点有所不同（如侧重过程督导或设计评审），可在本权重框架基础上进行±10%范围的浮动调整，但应保持"教育成效权重最高"的基本原则不变。</w:t>
      </w:r>
    </w:p>
    <w:p>
      <w:pPr>
        <w:sectPr>
          <w:headerReference w:type="default" r:id="R941c8891a6f8464a"/>
          <w:footerReference w:type="default" r:id="R3a51a758fe2645f9"/>
          <w:pgSz w:w="11906" w:h="16838"/>
          <w:pgMar w:top="1800" w:right="1200" w:bottom="1440" w:left="120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4f875caa030445a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rFonts w:ascii="Calibri" w:hAnsi="Calibri" w:eastAsia="Microsoft YaHei"/>
          <w:b/>
          <w:color w:val="FFFFFF"/>
          <w:sz w:val="52"/>
        </w:rPr>
        <w:t>科技馆教育活动评估标准</w:t>
      </w:r>
    </w:p>
    <w:p>
      <w:pPr>
        <w:spacing w:before="400"/>
        <w:jc w:val="center"/>
      </w:pPr>
      <w:r>
        <w:rPr>
          <w:rFonts w:ascii="Calibri" w:hAnsi="Calibri" w:eastAsia="Microsoft YaHei"/>
          <w:color w:val="B8D4E3"/>
          <w:sz w:val="24"/>
        </w:rPr>
        <w:t>附录A 指标权重分配方案</w:t>
      </w:r>
    </w:p>
    <w:p>
      <w:pPr>
        <w:spacing w:before="3000"/>
        <w:jc w:val="center"/>
      </w:pPr>
      <w:r>
        <w:rPr>
          <w:rFonts w:ascii="Calibri" w:hAnsi="Calibri" w:eastAsia="Microsoft YaHei"/>
          <w:color w:val="7BA3B8"/>
          <w:sz w:val="18"/>
        </w:rPr>
        <w:t>2026年7月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8FA8B5"/>
        <w:sz w:val="18"/>
      </w:rPr>
      <w:t xml:space="preserve">- </w:t>
    </w:r>
    <w:r>
      <w:rPr>
        <w:rFonts w:ascii="Calibri" w:hAnsi="Calibri" w:eastAsia="Microsoft YaHei"/>
        <w:color w:val="8FA8B5"/>
        <w:sz w:val="18"/>
      </w:rPr>
      <w:fldChar w:fldCharType="begin"/>
    </w:r>
    <w:r>
      <w:rPr>
        <w:rFonts w:ascii="Calibri" w:hAnsi="Calibri" w:eastAsia="Microsoft YaHei"/>
        <w:color w:val="8FA8B5"/>
        <w:sz w:val="18"/>
      </w:rPr>
      <w:instrText xml:space="preserve"> PAGE </w:instrText>
    </w:r>
    <w:r>
      <w:rPr>
        <w:rFonts w:ascii="Calibri" w:hAnsi="Calibri" w:eastAsia="Microsoft YaHei"/>
        <w:color w:val="8FA8B5"/>
        <w:sz w:val="18"/>
      </w:rPr>
      <w:fldChar w:fldCharType="separate"/>
    </w:r>
    <w:r>
      <w:rPr>
        <w:rFonts w:ascii="Calibri" w:hAnsi="Calibri" w:eastAsia="Microsoft YaHei"/>
        <w:color w:val="8FA8B5"/>
        <w:sz w:val="18"/>
      </w:rPr>
      <w:t>1</w:t>
    </w:r>
    <w:r>
      <w:rPr>
        <w:rFonts w:ascii="Calibri" w:hAnsi="Calibri" w:eastAsia="Microsoft YaHei"/>
        <w:color w:val="8FA8B5"/>
        <w:sz w:val="18"/>
      </w:rPr>
      <w:fldChar w:fldCharType="end"/>
    </w:r>
    <w:r>
      <w:rPr>
        <w:rFonts w:ascii="Calibri" w:hAnsi="Calibri" w:eastAsia="Microsoft YaHei"/>
        <w:color w:val="8FA8B5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8FA8B5"/>
        <w:sz w:val="18"/>
      </w:rPr>
      <w:t>科技馆教育活动评估指标权重分配方案</w:t>
    </w:r>
  </w:p>
</w:hdr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E3A4C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2C5F7C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1E3A4C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3D6275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8FA8B5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E3A4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3D6275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3D6275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8e3fc8c5d9f4259" /><Relationship Type="http://schemas.openxmlformats.org/officeDocument/2006/relationships/image" Target="media/image.png" Id="R2468131f49be439e" /><Relationship Type="http://schemas.openxmlformats.org/officeDocument/2006/relationships/image" Target="media/image2.png" Id="R4f875caa030445a3" /><Relationship Type="http://schemas.openxmlformats.org/officeDocument/2006/relationships/header" Target="header1.xml" Id="R941c8891a6f8464a" /><Relationship Type="http://schemas.openxmlformats.org/officeDocument/2006/relationships/footer" Target="footer1.xml" Id="R3a51a758fe2645f9" /><Relationship Type="http://schemas.openxmlformats.org/officeDocument/2006/relationships/settings" Target="settings.xml" Id="Rba63092511134386" /></Relationships>
</file>