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天时不如地利，地利不如人和。——《孟子》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富贵不能淫，贫贱不能移，威武不能屈。——《孟子》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老吾老，以及人之老；幼吾幼，以及人之幼。——《孟子》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锲而不舍，金石可镂。——《荀子》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青，取之于蓝，而青于蓝；冰，水为之，而寒于水。——《荀子》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故不积跬步，无以至千里；不积小流，无以成江海。——《荀子》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夏虫不可语于冰。——庄子《秋水》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吾生也有涯，而知也无涯。——《庄子》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君子之交淡如水，小人之交甘若醴。——《庄子》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知己知彼，百战不殆。 ——《孙子兵法》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静如处子，动如脱兔。——《孙子兵法》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塞翁失马，焉知非福。——《淮南子》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临渊羡鱼，不如退而结网。——《淮南子》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流水不腐，户枢不蠹。——《吕氏春秋》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千里之堤，毁于蚁穴。——《韩非子》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亡羊补牢，未为迟也。——《战国策》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前事不忘，后世之师。——《战国策》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鹬蚌相争，渔翁得利。——《战国策》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士为知己者死，女为悦己者容。——《战国策》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风萧萧兮易水寒，壮士一去兮不复还。——《易水歌》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山有木兮木有枝，心悦君兮君不知。——《越人歌》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不鸣则已，一鸣惊人。——《史记·滑稽列传》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众口铄金，积毁销骨。——《史记·张仪列传》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桃李不言，下自成蹊。——《史记·李将军传》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燕雀安知鸿鹄之志哉。——《史记·陈涉世家》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忠言逆耳利于行，良药苦口利于病。——《史记·留侯世家》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人固有一死，或重于泰山，或轻于鸿毛。——《史记·报任少卿书》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智者千虑，必有一失；愚者千虑，必有一得。——《史记·淮阴侯 列传》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水至清则无鱼，人至察则无徒。——《汉书·东方朔传》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少壮不努力，老大徒伤悲。——汉乐府民歌《长歌行》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山无陵，江水为竭，冬雷震震，夏雨雪，天地合，乃敢与君绝！——汉乐府民歌《上邪》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人生天地间，忽如远行客。——《青青陵上柏》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前车之覆，后车之鉴。——《汉书》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水至清则无鱼，人至察则无徒。——《汉书》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有志者，事竟成。——《后汉书·耿弇传》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失之东隅，收之桑榆。——《后汉书·冯异传》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精诚所至，金石为开。——《后汉书·广陵思王荆传》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盛名之下，其实难副。——《后汉书·黄琼传》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不入虎穴，焉得虎子。——《后汉书·班超传》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疾风知劲草，岁寒见后凋。——《后汉书·王霸传》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老骥伏枥，志在千里；烈士暮年，壮心不已。——曹操《龟虽寿》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山不厌高，海不厌深；周公吐哺，天下归心。——曹操《短歌行》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捐躯赴国难，视死忽如归。 ——曹植《白马篇》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鞠躬尽瘁，死而后已。——诸葛亮《后出师表》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非淡泊无以明志，非宁静无以致远。——诸葛亮《诫子书》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勿以恶小而为之，勿以善小而不为。——刘备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茕茕孑立，形影相吊。——李密《陈情表》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奇文共欣赏，疑义相与析。——陶渊明《移居》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采菊东篱下，悠然见南山。——陶渊明《饮酒》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及时当勉励，岁月不待人。——陶渊明《杂诗》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羁鸟恋旧林，池鱼思故渊。——陶渊明《归园田居·其一》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不戚戚于贫贱，不汲汲于富贵。——陶渊明《五柳先生传》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愿得一人心，白首不相离。——卓文君《白头吟》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笼天地于形内，挫万物于笔端。——陆机《文赋》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登山则情满于山，观海则意溢于海。——刘勰《文心雕龙》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句有可削，足见其疏；字不得减，乃知其密。——刘勰《文心雕龙》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蝉噪林逾静，鸟鸣山更幽。——王籍《入若耶溪》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天苍苍，野茫茫，风吹草低见牛羊。——北朝民歌《敕勒歌》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宁为玉碎，不为瓦全。——《北齐书·元景安传》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城门失火，殃及池鱼。——杜弼《檄梁文》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当局者迷，旁观者清。——《新唐书·元行冲传》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海内存知己，天涯若比邻。——王勃《送杜少府之任蜀川》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落霞与孤鹜齐飞，秋水共长天一色。——王勃《滕王阁序》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得成比目何辞死，愿作鸳鸯不羡仙。——卢照邻《长安古意》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前不见古人，后不见来者。念天地之悠悠，独怆然而涕下。——陈子昂《登幽州台歌》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D15E39"/>
    <w:multiLevelType w:val="multilevel"/>
    <w:tmpl w:val="1BD15E3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A01C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