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rPr>
          <w:rFonts w:ascii="黑体" w:hAnsi="黑体" w:eastAsia="黑体"/>
          <w:sz w:val="72"/>
          <w:szCs w:val="72"/>
        </w:rPr>
      </w:pPr>
    </w:p>
    <w:p>
      <w:pPr>
        <w:jc w:val="right"/>
        <w:rPr>
          <w:rFonts w:ascii="黑体" w:hAnsi="黑体" w:eastAsia="黑体"/>
          <w:sz w:val="72"/>
          <w:szCs w:val="72"/>
        </w:rPr>
      </w:pPr>
    </w:p>
    <w:p>
      <w:pPr>
        <w:jc w:val="right"/>
        <w:rPr>
          <w:rFonts w:ascii="黑体" w:hAnsi="黑体" w:eastAsia="黑体"/>
          <w:sz w:val="72"/>
          <w:szCs w:val="72"/>
        </w:rPr>
      </w:pPr>
    </w:p>
    <w:p>
      <w:pPr>
        <w:jc w:val="right"/>
        <w:rPr>
          <w:rFonts w:ascii="黑体" w:hAnsi="黑体" w:eastAsia="黑体"/>
          <w:sz w:val="72"/>
          <w:szCs w:val="72"/>
        </w:rPr>
      </w:pPr>
    </w:p>
    <w:p>
      <w:pPr>
        <w:jc w:val="center"/>
        <w:rPr>
          <w:rFonts w:ascii="黑体" w:hAnsi="黑体" w:eastAsia="黑体"/>
          <w:sz w:val="72"/>
          <w:szCs w:val="72"/>
        </w:rPr>
      </w:pPr>
      <w:r>
        <w:rPr>
          <w:rFonts w:ascii="黑体" w:hAnsi="黑体" w:eastAsia="黑体"/>
          <w:sz w:val="72"/>
          <w:szCs w:val="72"/>
        </w:rPr>
        <w:t>农哈哈二期</w:t>
      </w:r>
    </w:p>
    <w:p>
      <w:pPr>
        <w:jc w:val="center"/>
        <w:rPr>
          <w:rFonts w:hint="eastAsia" w:ascii="黑体" w:hAnsi="黑体" w:eastAsia="黑体"/>
          <w:sz w:val="52"/>
          <w:szCs w:val="52"/>
          <w:lang w:eastAsia="zh-CN"/>
        </w:rPr>
      </w:pPr>
      <w:r>
        <w:rPr>
          <w:rFonts w:ascii="黑体" w:hAnsi="黑体" w:eastAsia="黑体"/>
          <w:sz w:val="52"/>
          <w:szCs w:val="52"/>
        </w:rPr>
        <w:t>概要设计</w:t>
      </w:r>
      <w:r>
        <w:rPr>
          <w:rFonts w:hint="eastAsia" w:ascii="黑体" w:hAnsi="黑体" w:eastAsia="黑体"/>
          <w:sz w:val="52"/>
          <w:szCs w:val="52"/>
        </w:rPr>
        <w:t>v1.0.</w:t>
      </w:r>
      <w:r>
        <w:rPr>
          <w:rFonts w:hint="eastAsia" w:ascii="黑体" w:hAnsi="黑体" w:eastAsia="黑体"/>
          <w:sz w:val="52"/>
          <w:szCs w:val="52"/>
          <w:lang w:val="en-US" w:eastAsia="zh-CN"/>
        </w:rPr>
        <w:t>2</w:t>
      </w:r>
    </w:p>
    <w:p>
      <w:pPr>
        <w:jc w:val="right"/>
        <w:rPr>
          <w:rFonts w:ascii="黑体" w:hAnsi="黑体" w:eastAsia="黑体"/>
          <w:sz w:val="52"/>
          <w:szCs w:val="52"/>
        </w:rPr>
      </w:pPr>
    </w:p>
    <w:p>
      <w:pPr>
        <w:jc w:val="right"/>
        <w:rPr>
          <w:rFonts w:ascii="黑体" w:hAnsi="黑体" w:eastAsia="黑体"/>
          <w:sz w:val="52"/>
          <w:szCs w:val="52"/>
        </w:rPr>
      </w:pPr>
    </w:p>
    <w:p>
      <w:pPr>
        <w:jc w:val="right"/>
        <w:rPr>
          <w:rFonts w:ascii="黑体" w:hAnsi="黑体" w:eastAsia="黑体"/>
          <w:sz w:val="52"/>
          <w:szCs w:val="52"/>
        </w:rPr>
      </w:pPr>
    </w:p>
    <w:p>
      <w:pPr>
        <w:jc w:val="right"/>
        <w:rPr>
          <w:rFonts w:ascii="黑体" w:hAnsi="黑体" w:eastAsia="黑体"/>
          <w:sz w:val="52"/>
          <w:szCs w:val="52"/>
        </w:rPr>
      </w:pPr>
    </w:p>
    <w:p>
      <w:pPr>
        <w:jc w:val="right"/>
        <w:rPr>
          <w:rFonts w:ascii="黑体" w:hAnsi="黑体" w:eastAsia="黑体"/>
          <w:sz w:val="52"/>
          <w:szCs w:val="52"/>
        </w:rPr>
      </w:pPr>
    </w:p>
    <w:p>
      <w:pPr>
        <w:jc w:val="right"/>
        <w:rPr>
          <w:rFonts w:ascii="黑体" w:hAnsi="黑体" w:eastAsia="黑体"/>
          <w:sz w:val="52"/>
          <w:szCs w:val="52"/>
        </w:rPr>
      </w:pPr>
    </w:p>
    <w:p>
      <w:pPr>
        <w:jc w:val="right"/>
        <w:rPr>
          <w:rFonts w:ascii="黑体" w:hAnsi="黑体" w:eastAsia="黑体"/>
          <w:sz w:val="52"/>
          <w:szCs w:val="52"/>
        </w:rPr>
      </w:pPr>
    </w:p>
    <w:p>
      <w:pPr>
        <w:spacing w:line="360" w:lineRule="auto"/>
        <w:jc w:val="center"/>
        <w:rPr>
          <w:rFonts w:asciiTheme="minorEastAsia" w:hAnsiTheme="minorEastAsia"/>
          <w:sz w:val="24"/>
        </w:rPr>
      </w:pPr>
    </w:p>
    <w:p>
      <w:pPr>
        <w:spacing w:line="360" w:lineRule="auto"/>
        <w:jc w:val="center"/>
        <w:rPr>
          <w:rFonts w:asciiTheme="minorEastAsia" w:hAnsiTheme="minorEastAsia"/>
          <w:sz w:val="24"/>
        </w:rPr>
      </w:pPr>
      <w:r>
        <w:rPr>
          <w:rFonts w:hint="eastAsia" w:asciiTheme="minorEastAsia" w:hAnsiTheme="minorEastAsia"/>
          <w:sz w:val="24"/>
        </w:rPr>
        <w:t>撰写人：</w:t>
      </w:r>
      <w:r>
        <w:rPr>
          <w:rFonts w:asciiTheme="minorEastAsia" w:hAnsiTheme="minorEastAsia"/>
          <w:sz w:val="24"/>
        </w:rPr>
        <w:t>魏铮</w:t>
      </w:r>
    </w:p>
    <w:p>
      <w:pPr>
        <w:spacing w:line="360" w:lineRule="auto"/>
        <w:jc w:val="center"/>
      </w:pPr>
      <w:r>
        <w:rPr>
          <w:rFonts w:hint="eastAsia" w:asciiTheme="minorEastAsia" w:hAnsiTheme="minorEastAsia"/>
          <w:sz w:val="24"/>
        </w:rPr>
        <w:t>2020-06-02</w:t>
      </w:r>
    </w:p>
    <w:p>
      <w:pPr>
        <w:spacing w:line="360" w:lineRule="auto"/>
        <w:jc w:val="center"/>
        <w:rPr>
          <w:rFonts w:asciiTheme="minorEastAsia" w:hAnsiTheme="minorEastAsia"/>
          <w:b/>
          <w:sz w:val="32"/>
        </w:rPr>
      </w:pPr>
      <w:r>
        <w:rPr>
          <w:rFonts w:asciiTheme="minorEastAsia" w:hAnsiTheme="minorEastAsia"/>
          <w:b/>
          <w:sz w:val="32"/>
        </w:rPr>
        <w:t>修订历史</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992"/>
        <w:gridCol w:w="1134"/>
        <w:gridCol w:w="50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eastAsia="宋体" w:cs="Calibri" w:asciiTheme="minorEastAsia" w:hAnsiTheme="minorEastAsia"/>
                <w:b/>
                <w:kern w:val="0"/>
                <w:sz w:val="20"/>
                <w:szCs w:val="21"/>
              </w:rPr>
            </w:pPr>
            <w:r>
              <w:rPr>
                <w:rFonts w:hint="eastAsia" w:ascii="Calibri" w:hAnsi="Calibri" w:eastAsia="宋体" w:cs="Calibri"/>
                <w:b/>
                <w:kern w:val="0"/>
                <w:sz w:val="20"/>
                <w:szCs w:val="20"/>
              </w:rPr>
              <w:t>日期</w:t>
            </w:r>
          </w:p>
        </w:tc>
        <w:tc>
          <w:tcPr>
            <w:tcW w:w="992" w:type="dxa"/>
            <w:vAlign w:val="center"/>
          </w:tcPr>
          <w:p>
            <w:pPr>
              <w:spacing w:line="276" w:lineRule="auto"/>
              <w:jc w:val="center"/>
              <w:rPr>
                <w:rFonts w:eastAsia="宋体" w:cs="Calibri" w:asciiTheme="minorEastAsia" w:hAnsiTheme="minorEastAsia"/>
                <w:b/>
                <w:kern w:val="0"/>
                <w:sz w:val="20"/>
                <w:szCs w:val="21"/>
              </w:rPr>
            </w:pPr>
            <w:r>
              <w:rPr>
                <w:rFonts w:ascii="Calibri" w:hAnsi="Calibri" w:eastAsia="宋体" w:cs="Calibri"/>
                <w:b/>
                <w:kern w:val="0"/>
                <w:sz w:val="20"/>
                <w:szCs w:val="20"/>
              </w:rPr>
              <w:t>版本</w:t>
            </w:r>
          </w:p>
        </w:tc>
        <w:tc>
          <w:tcPr>
            <w:tcW w:w="1134" w:type="dxa"/>
            <w:vAlign w:val="center"/>
          </w:tcPr>
          <w:p>
            <w:pPr>
              <w:spacing w:line="276" w:lineRule="auto"/>
              <w:jc w:val="center"/>
              <w:rPr>
                <w:rFonts w:eastAsia="宋体" w:cs="Calibri" w:asciiTheme="minorEastAsia" w:hAnsiTheme="minorEastAsia"/>
                <w:b/>
                <w:kern w:val="0"/>
                <w:sz w:val="20"/>
                <w:szCs w:val="21"/>
              </w:rPr>
            </w:pPr>
            <w:r>
              <w:rPr>
                <w:rFonts w:eastAsia="宋体" w:cs="Calibri" w:asciiTheme="minorEastAsia" w:hAnsiTheme="minorEastAsia"/>
                <w:b/>
                <w:kern w:val="0"/>
                <w:sz w:val="20"/>
                <w:szCs w:val="21"/>
              </w:rPr>
              <w:t>修订人</w:t>
            </w:r>
          </w:p>
        </w:tc>
        <w:tc>
          <w:tcPr>
            <w:tcW w:w="5012" w:type="dxa"/>
            <w:vAlign w:val="center"/>
          </w:tcPr>
          <w:p>
            <w:pPr>
              <w:spacing w:line="276" w:lineRule="auto"/>
              <w:jc w:val="center"/>
              <w:rPr>
                <w:rFonts w:eastAsia="宋体" w:cs="Calibri" w:asciiTheme="minorEastAsia" w:hAnsiTheme="minorEastAsia"/>
                <w:b/>
                <w:kern w:val="0"/>
                <w:sz w:val="20"/>
                <w:szCs w:val="21"/>
              </w:rPr>
            </w:pPr>
            <w:r>
              <w:rPr>
                <w:rFonts w:eastAsia="宋体" w:cs="Calibri" w:asciiTheme="minorEastAsia" w:hAnsiTheme="minorEastAsia"/>
                <w:b/>
                <w:kern w:val="0"/>
                <w:sz w:val="20"/>
                <w:szCs w:val="21"/>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rPr>
                <w:rFonts w:cs="Calibri" w:asciiTheme="minorEastAsia" w:hAnsiTheme="minorEastAsia" w:eastAsiaTheme="minorEastAsia"/>
                <w:kern w:val="0"/>
                <w:sz w:val="21"/>
                <w:szCs w:val="21"/>
              </w:rPr>
            </w:pPr>
            <w:r>
              <w:rPr>
                <w:rFonts w:hint="eastAsia" w:cs="Calibri" w:asciiTheme="minorEastAsia" w:hAnsiTheme="minorEastAsia" w:eastAsiaTheme="minorEastAsia"/>
                <w:kern w:val="0"/>
                <w:sz w:val="21"/>
                <w:szCs w:val="21"/>
              </w:rPr>
              <w:t>2020-06-02</w:t>
            </w:r>
          </w:p>
        </w:tc>
        <w:tc>
          <w:tcPr>
            <w:tcW w:w="992" w:type="dxa"/>
            <w:vAlign w:val="center"/>
          </w:tcPr>
          <w:p>
            <w:pPr>
              <w:spacing w:line="276" w:lineRule="auto"/>
              <w:jc w:val="center"/>
              <w:rPr>
                <w:rFonts w:cs="Calibri" w:asciiTheme="minorEastAsia" w:hAnsiTheme="minorEastAsia" w:eastAsiaTheme="minorEastAsia"/>
                <w:kern w:val="0"/>
                <w:sz w:val="21"/>
                <w:szCs w:val="21"/>
              </w:rPr>
            </w:pPr>
            <w:r>
              <w:rPr>
                <w:rFonts w:hint="eastAsia" w:cs="Calibri" w:asciiTheme="minorEastAsia" w:hAnsiTheme="minorEastAsia" w:eastAsiaTheme="minorEastAsia"/>
                <w:kern w:val="0"/>
                <w:sz w:val="21"/>
                <w:szCs w:val="21"/>
              </w:rPr>
              <w:t>1.0.0</w:t>
            </w:r>
          </w:p>
        </w:tc>
        <w:tc>
          <w:tcPr>
            <w:tcW w:w="1134" w:type="dxa"/>
            <w:vAlign w:val="center"/>
          </w:tcPr>
          <w:p>
            <w:pPr>
              <w:spacing w:line="276" w:lineRule="auto"/>
              <w:rPr>
                <w:rFonts w:cs="Calibri" w:asciiTheme="minorEastAsia" w:hAnsiTheme="minorEastAsia" w:eastAsiaTheme="minorEastAsia"/>
                <w:kern w:val="0"/>
                <w:sz w:val="21"/>
                <w:szCs w:val="21"/>
              </w:rPr>
            </w:pPr>
            <w:r>
              <w:rPr>
                <w:rFonts w:cs="Calibri" w:asciiTheme="minorEastAsia" w:hAnsiTheme="minorEastAsia" w:eastAsiaTheme="minorEastAsia"/>
                <w:kern w:val="0"/>
                <w:sz w:val="21"/>
                <w:szCs w:val="21"/>
              </w:rPr>
              <w:t>魏铮</w:t>
            </w:r>
          </w:p>
        </w:tc>
        <w:tc>
          <w:tcPr>
            <w:tcW w:w="5012" w:type="dxa"/>
            <w:vAlign w:val="center"/>
          </w:tcPr>
          <w:p>
            <w:pPr>
              <w:spacing w:line="276" w:lineRule="auto"/>
              <w:rPr>
                <w:rFonts w:cs="Calibri" w:asciiTheme="minorEastAsia" w:hAnsiTheme="minorEastAsia" w:eastAsiaTheme="minorEastAsia"/>
                <w:kern w:val="0"/>
                <w:sz w:val="21"/>
                <w:szCs w:val="21"/>
              </w:rPr>
            </w:pPr>
            <w:r>
              <w:rPr>
                <w:rFonts w:cs="Calibri" w:asciiTheme="minorEastAsia" w:hAnsiTheme="minorEastAsia" w:eastAsiaTheme="minorEastAsia"/>
                <w:kern w:val="0"/>
                <w:sz w:val="21"/>
                <w:szCs w:val="21"/>
              </w:rPr>
              <w:t>创建文档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rPr>
                <w:rFonts w:cs="Calibri" w:asciiTheme="minorEastAsia" w:hAnsiTheme="minorEastAsia" w:eastAsiaTheme="minorEastAsia"/>
                <w:kern w:val="0"/>
                <w:sz w:val="21"/>
                <w:szCs w:val="21"/>
              </w:rPr>
            </w:pPr>
            <w:r>
              <w:rPr>
                <w:rFonts w:hint="eastAsia" w:cs="Calibri" w:asciiTheme="minorEastAsia" w:hAnsiTheme="minorEastAsia" w:eastAsiaTheme="minorEastAsia"/>
                <w:kern w:val="0"/>
                <w:sz w:val="21"/>
                <w:szCs w:val="21"/>
              </w:rPr>
              <w:t>2020-06-15</w:t>
            </w:r>
          </w:p>
        </w:tc>
        <w:tc>
          <w:tcPr>
            <w:tcW w:w="992" w:type="dxa"/>
            <w:vAlign w:val="center"/>
          </w:tcPr>
          <w:p>
            <w:pPr>
              <w:spacing w:line="276" w:lineRule="auto"/>
              <w:jc w:val="center"/>
              <w:rPr>
                <w:rFonts w:eastAsia="宋体" w:cs="Calibri" w:asciiTheme="minorEastAsia" w:hAnsiTheme="minorEastAsia"/>
                <w:kern w:val="0"/>
                <w:sz w:val="21"/>
                <w:szCs w:val="21"/>
              </w:rPr>
            </w:pPr>
            <w:r>
              <w:rPr>
                <w:rFonts w:hint="eastAsia" w:eastAsia="宋体" w:cs="Calibri" w:asciiTheme="minorEastAsia" w:hAnsiTheme="minorEastAsia"/>
                <w:kern w:val="0"/>
                <w:sz w:val="21"/>
                <w:szCs w:val="21"/>
              </w:rPr>
              <w:t>1.0.1</w:t>
            </w:r>
          </w:p>
        </w:tc>
        <w:tc>
          <w:tcPr>
            <w:tcW w:w="1134" w:type="dxa"/>
            <w:vAlign w:val="center"/>
          </w:tcPr>
          <w:p>
            <w:pPr>
              <w:spacing w:line="276" w:lineRule="auto"/>
              <w:rPr>
                <w:rFonts w:eastAsia="宋体" w:cs="Calibri" w:asciiTheme="minorEastAsia" w:hAnsiTheme="minorEastAsia"/>
                <w:kern w:val="0"/>
                <w:sz w:val="21"/>
                <w:szCs w:val="21"/>
              </w:rPr>
            </w:pPr>
            <w:r>
              <w:rPr>
                <w:rFonts w:hint="eastAsia" w:eastAsia="宋体" w:cs="Calibri" w:asciiTheme="minorEastAsia" w:hAnsiTheme="minorEastAsia"/>
                <w:kern w:val="0"/>
                <w:sz w:val="21"/>
                <w:szCs w:val="21"/>
              </w:rPr>
              <w:t>魏铮</w:t>
            </w:r>
          </w:p>
        </w:tc>
        <w:tc>
          <w:tcPr>
            <w:tcW w:w="5012" w:type="dxa"/>
            <w:vAlign w:val="center"/>
          </w:tcPr>
          <w:p>
            <w:pPr>
              <w:spacing w:line="276" w:lineRule="auto"/>
              <w:rPr>
                <w:rFonts w:eastAsia="宋体" w:cs="Calibri" w:asciiTheme="minorEastAsia" w:hAnsiTheme="minorEastAsia"/>
                <w:kern w:val="0"/>
                <w:sz w:val="21"/>
                <w:szCs w:val="21"/>
              </w:rPr>
            </w:pPr>
            <w:r>
              <w:rPr>
                <w:rFonts w:eastAsia="宋体" w:cs="Calibri" w:asciiTheme="minorEastAsia" w:hAnsiTheme="minorEastAsia"/>
                <w:kern w:val="0"/>
                <w:sz w:val="21"/>
                <w:szCs w:val="21"/>
              </w:rPr>
              <w:t>调整需求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rPr>
                <w:rFonts w:hint="default" w:cs="Calibri" w:asciiTheme="minorEastAsia" w:hAnsiTheme="minorEastAsia" w:eastAsiaTheme="minorEastAsia"/>
                <w:kern w:val="0"/>
                <w:sz w:val="21"/>
                <w:szCs w:val="21"/>
                <w:lang w:val="en-US" w:eastAsia="zh-CN"/>
              </w:rPr>
            </w:pPr>
            <w:r>
              <w:rPr>
                <w:rFonts w:hint="eastAsia" w:cs="Calibri" w:asciiTheme="minorEastAsia" w:hAnsiTheme="minorEastAsia"/>
                <w:kern w:val="0"/>
                <w:sz w:val="21"/>
                <w:szCs w:val="21"/>
                <w:lang w:val="en-US" w:eastAsia="zh-CN"/>
              </w:rPr>
              <w:t>2020-06-18</w:t>
            </w:r>
          </w:p>
        </w:tc>
        <w:tc>
          <w:tcPr>
            <w:tcW w:w="992" w:type="dxa"/>
            <w:vAlign w:val="center"/>
          </w:tcPr>
          <w:p>
            <w:pPr>
              <w:spacing w:line="276" w:lineRule="auto"/>
              <w:jc w:val="center"/>
              <w:rPr>
                <w:rFonts w:hint="default" w:eastAsia="宋体" w:cs="Calibri" w:asciiTheme="minorEastAsia" w:hAnsiTheme="minorEastAsia"/>
                <w:kern w:val="0"/>
                <w:sz w:val="21"/>
                <w:szCs w:val="21"/>
                <w:lang w:val="en-US" w:eastAsia="zh-CN"/>
              </w:rPr>
            </w:pPr>
            <w:r>
              <w:rPr>
                <w:rFonts w:hint="eastAsia" w:eastAsia="宋体" w:cs="Calibri" w:asciiTheme="minorEastAsia" w:hAnsiTheme="minorEastAsia"/>
                <w:kern w:val="0"/>
                <w:sz w:val="21"/>
                <w:szCs w:val="21"/>
                <w:lang w:val="en-US" w:eastAsia="zh-CN"/>
              </w:rPr>
              <w:t>1.0.2</w:t>
            </w:r>
          </w:p>
        </w:tc>
        <w:tc>
          <w:tcPr>
            <w:tcW w:w="1134" w:type="dxa"/>
            <w:vAlign w:val="center"/>
          </w:tcPr>
          <w:p>
            <w:pPr>
              <w:spacing w:line="276" w:lineRule="auto"/>
              <w:rPr>
                <w:rFonts w:hint="eastAsia" w:eastAsia="宋体" w:cs="Calibri" w:asciiTheme="minorEastAsia" w:hAnsiTheme="minorEastAsia"/>
                <w:kern w:val="0"/>
                <w:sz w:val="21"/>
                <w:szCs w:val="21"/>
                <w:lang w:eastAsia="zh-CN"/>
              </w:rPr>
            </w:pPr>
            <w:r>
              <w:rPr>
                <w:rFonts w:hint="eastAsia" w:eastAsia="宋体" w:cs="Calibri" w:asciiTheme="minorEastAsia" w:hAnsiTheme="minorEastAsia"/>
                <w:kern w:val="0"/>
                <w:sz w:val="21"/>
                <w:szCs w:val="21"/>
                <w:lang w:eastAsia="zh-CN"/>
              </w:rPr>
              <w:t>李小琴</w:t>
            </w:r>
          </w:p>
        </w:tc>
        <w:tc>
          <w:tcPr>
            <w:tcW w:w="5012" w:type="dxa"/>
            <w:vAlign w:val="center"/>
          </w:tcPr>
          <w:p>
            <w:pPr>
              <w:spacing w:line="276" w:lineRule="auto"/>
              <w:rPr>
                <w:rFonts w:hint="eastAsia" w:eastAsia="宋体" w:cs="Calibri" w:asciiTheme="minorEastAsia" w:hAnsiTheme="minorEastAsia"/>
                <w:kern w:val="0"/>
                <w:sz w:val="21"/>
                <w:szCs w:val="21"/>
                <w:lang w:eastAsia="zh-CN"/>
              </w:rPr>
            </w:pPr>
            <w:r>
              <w:rPr>
                <w:rFonts w:hint="eastAsia" w:eastAsia="宋体" w:cs="Calibri" w:asciiTheme="minorEastAsia" w:hAnsiTheme="minorEastAsia"/>
                <w:kern w:val="0"/>
                <w:sz w:val="21"/>
                <w:szCs w:val="21"/>
                <w:lang w:eastAsia="zh-CN"/>
              </w:rPr>
              <w:t>细化需求</w:t>
            </w:r>
          </w:p>
        </w:tc>
      </w:tr>
    </w:tbl>
    <w:p>
      <w:pPr>
        <w:widowControl/>
        <w:jc w:val="left"/>
        <w:rPr>
          <w:rFonts w:asciiTheme="minorEastAsia" w:hAnsiTheme="minorEastAsia"/>
          <w:sz w:val="24"/>
        </w:rPr>
      </w:pPr>
      <w:r>
        <w:rPr>
          <w:rFonts w:asciiTheme="minorEastAsia" w:hAnsiTheme="minorEastAsia"/>
          <w:sz w:val="24"/>
        </w:rPr>
        <w:br w:type="page"/>
      </w:r>
    </w:p>
    <w:sdt>
      <w:sdtPr>
        <w:rPr>
          <w:rFonts w:asciiTheme="minorHAnsi" w:hAnsiTheme="minorHAnsi" w:eastAsiaTheme="minorEastAsia" w:cstheme="minorBidi"/>
          <w:b w:val="0"/>
          <w:bCs w:val="0"/>
          <w:color w:val="auto"/>
          <w:kern w:val="2"/>
          <w:sz w:val="44"/>
          <w:szCs w:val="22"/>
          <w:lang w:val="zh-CN"/>
        </w:rPr>
        <w:id w:val="517048383"/>
        <w:docPartObj>
          <w:docPartGallery w:val="Table of Contents"/>
          <w:docPartUnique/>
        </w:docPartObj>
      </w:sdtPr>
      <w:sdtEndPr>
        <w:rPr>
          <w:rFonts w:asciiTheme="minorHAnsi" w:hAnsiTheme="minorHAnsi" w:eastAsiaTheme="minorEastAsia" w:cstheme="minorBidi"/>
          <w:b w:val="0"/>
          <w:bCs w:val="0"/>
          <w:color w:val="auto"/>
          <w:kern w:val="2"/>
          <w:sz w:val="21"/>
          <w:szCs w:val="22"/>
          <w:lang w:val="zh-CN"/>
        </w:rPr>
      </w:sdtEndPr>
      <w:sdtContent>
        <w:p>
          <w:pPr>
            <w:pStyle w:val="20"/>
            <w:jc w:val="center"/>
            <w:rPr>
              <w:sz w:val="44"/>
            </w:rPr>
          </w:pPr>
          <w:r>
            <w:rPr>
              <w:sz w:val="44"/>
              <w:lang w:val="zh-CN"/>
            </w:rPr>
            <w:t>目录</w:t>
          </w:r>
        </w:p>
        <w:p>
          <w:pPr>
            <w:pStyle w:val="8"/>
            <w:tabs>
              <w:tab w:val="left" w:pos="420"/>
              <w:tab w:val="right" w:leader="dot" w:pos="8296"/>
            </w:tabs>
            <w:spacing w:line="360" w:lineRule="auto"/>
            <w:rPr>
              <w:sz w:val="24"/>
            </w:rPr>
          </w:pPr>
          <w:r>
            <w:rPr>
              <w:sz w:val="24"/>
            </w:rPr>
            <w:fldChar w:fldCharType="begin"/>
          </w:r>
          <w:r>
            <w:rPr>
              <w:sz w:val="24"/>
            </w:rPr>
            <w:instrText xml:space="preserve"> TOC \o "1-3" \h \z \u </w:instrText>
          </w:r>
          <w:r>
            <w:rPr>
              <w:sz w:val="24"/>
            </w:rPr>
            <w:fldChar w:fldCharType="separate"/>
          </w:r>
          <w:r>
            <w:fldChar w:fldCharType="begin"/>
          </w:r>
          <w:r>
            <w:instrText xml:space="preserve"> HYPERLINK \l "_Toc42040195" </w:instrText>
          </w:r>
          <w:r>
            <w:fldChar w:fldCharType="separate"/>
          </w:r>
          <w:r>
            <w:rPr>
              <w:rStyle w:val="13"/>
              <w:sz w:val="24"/>
            </w:rPr>
            <w:t>1</w:t>
          </w:r>
          <w:r>
            <w:rPr>
              <w:sz w:val="24"/>
            </w:rPr>
            <w:tab/>
          </w:r>
          <w:r>
            <w:rPr>
              <w:rStyle w:val="13"/>
              <w:rFonts w:hint="eastAsia"/>
              <w:sz w:val="24"/>
            </w:rPr>
            <w:t>项目目标</w:t>
          </w:r>
          <w:r>
            <w:rPr>
              <w:sz w:val="24"/>
            </w:rPr>
            <w:tab/>
          </w:r>
          <w:r>
            <w:rPr>
              <w:sz w:val="24"/>
            </w:rPr>
            <w:fldChar w:fldCharType="begin"/>
          </w:r>
          <w:r>
            <w:rPr>
              <w:sz w:val="24"/>
            </w:rPr>
            <w:instrText xml:space="preserve"> PAGEREF _Toc42040195 \h </w:instrText>
          </w:r>
          <w:r>
            <w:rPr>
              <w:sz w:val="24"/>
            </w:rPr>
            <w:fldChar w:fldCharType="separate"/>
          </w:r>
          <w:r>
            <w:rPr>
              <w:sz w:val="24"/>
            </w:rPr>
            <w:t>4</w:t>
          </w:r>
          <w:r>
            <w:rPr>
              <w:sz w:val="24"/>
            </w:rPr>
            <w:fldChar w:fldCharType="end"/>
          </w:r>
          <w:r>
            <w:rPr>
              <w:sz w:val="24"/>
            </w:rPr>
            <w:fldChar w:fldCharType="end"/>
          </w:r>
        </w:p>
        <w:p>
          <w:pPr>
            <w:pStyle w:val="9"/>
          </w:pPr>
          <w:r>
            <w:fldChar w:fldCharType="begin"/>
          </w:r>
          <w:r>
            <w:instrText xml:space="preserve"> HYPERLINK \l "_Toc42040196" </w:instrText>
          </w:r>
          <w:r>
            <w:fldChar w:fldCharType="separate"/>
          </w:r>
          <w:r>
            <w:rPr>
              <w:rStyle w:val="13"/>
              <w:sz w:val="24"/>
            </w:rPr>
            <w:t>1.1</w:t>
          </w:r>
          <w:r>
            <w:tab/>
          </w:r>
          <w:r>
            <w:rPr>
              <w:rStyle w:val="13"/>
              <w:rFonts w:hint="eastAsia"/>
              <w:sz w:val="24"/>
            </w:rPr>
            <w:t>总体目标</w:t>
          </w:r>
          <w:r>
            <w:tab/>
          </w:r>
          <w:r>
            <w:fldChar w:fldCharType="begin"/>
          </w:r>
          <w:r>
            <w:instrText xml:space="preserve"> PAGEREF _Toc42040196 \h </w:instrText>
          </w:r>
          <w:r>
            <w:fldChar w:fldCharType="separate"/>
          </w:r>
          <w:r>
            <w:t>4</w:t>
          </w:r>
          <w:r>
            <w:fldChar w:fldCharType="end"/>
          </w:r>
          <w:r>
            <w:fldChar w:fldCharType="end"/>
          </w:r>
        </w:p>
        <w:p>
          <w:pPr>
            <w:pStyle w:val="9"/>
          </w:pPr>
          <w:r>
            <w:fldChar w:fldCharType="begin"/>
          </w:r>
          <w:r>
            <w:instrText xml:space="preserve"> HYPERLINK \l "_Toc42040197" </w:instrText>
          </w:r>
          <w:r>
            <w:fldChar w:fldCharType="separate"/>
          </w:r>
          <w:r>
            <w:rPr>
              <w:rStyle w:val="13"/>
              <w:sz w:val="24"/>
            </w:rPr>
            <w:t>1.2</w:t>
          </w:r>
          <w:r>
            <w:tab/>
          </w:r>
          <w:r>
            <w:rPr>
              <w:rStyle w:val="13"/>
              <w:rFonts w:hint="eastAsia"/>
              <w:sz w:val="24"/>
            </w:rPr>
            <w:t>目标分解</w:t>
          </w:r>
          <w:r>
            <w:tab/>
          </w:r>
          <w:r>
            <w:fldChar w:fldCharType="begin"/>
          </w:r>
          <w:r>
            <w:instrText xml:space="preserve"> PAGEREF _Toc42040197 \h </w:instrText>
          </w:r>
          <w:r>
            <w:fldChar w:fldCharType="separate"/>
          </w:r>
          <w:r>
            <w:t>4</w:t>
          </w:r>
          <w:r>
            <w:fldChar w:fldCharType="end"/>
          </w:r>
          <w:r>
            <w:fldChar w:fldCharType="end"/>
          </w:r>
        </w:p>
        <w:p>
          <w:pPr>
            <w:pStyle w:val="9"/>
          </w:pPr>
          <w:r>
            <w:fldChar w:fldCharType="begin"/>
          </w:r>
          <w:r>
            <w:instrText xml:space="preserve"> HYPERLINK \l "_Toc42040198" </w:instrText>
          </w:r>
          <w:r>
            <w:fldChar w:fldCharType="separate"/>
          </w:r>
          <w:r>
            <w:rPr>
              <w:rStyle w:val="13"/>
              <w:sz w:val="24"/>
            </w:rPr>
            <w:t>1.3</w:t>
          </w:r>
          <w:r>
            <w:tab/>
          </w:r>
          <w:r>
            <w:rPr>
              <w:rStyle w:val="13"/>
              <w:rFonts w:hint="eastAsia"/>
              <w:sz w:val="24"/>
            </w:rPr>
            <w:t>术语定义</w:t>
          </w:r>
          <w:r>
            <w:tab/>
          </w:r>
          <w:r>
            <w:fldChar w:fldCharType="begin"/>
          </w:r>
          <w:r>
            <w:instrText xml:space="preserve"> PAGEREF _Toc42040198 \h </w:instrText>
          </w:r>
          <w:r>
            <w:fldChar w:fldCharType="separate"/>
          </w:r>
          <w:r>
            <w:t>4</w:t>
          </w:r>
          <w:r>
            <w:fldChar w:fldCharType="end"/>
          </w:r>
          <w:r>
            <w:fldChar w:fldCharType="end"/>
          </w:r>
        </w:p>
        <w:p>
          <w:pPr>
            <w:pStyle w:val="8"/>
            <w:tabs>
              <w:tab w:val="left" w:pos="420"/>
              <w:tab w:val="right" w:leader="dot" w:pos="8296"/>
            </w:tabs>
            <w:spacing w:line="360" w:lineRule="auto"/>
            <w:rPr>
              <w:sz w:val="24"/>
            </w:rPr>
          </w:pPr>
          <w:r>
            <w:fldChar w:fldCharType="begin"/>
          </w:r>
          <w:r>
            <w:instrText xml:space="preserve"> HYPERLINK \l "_Toc42040199" </w:instrText>
          </w:r>
          <w:r>
            <w:fldChar w:fldCharType="separate"/>
          </w:r>
          <w:r>
            <w:rPr>
              <w:rStyle w:val="13"/>
              <w:sz w:val="24"/>
            </w:rPr>
            <w:t>2</w:t>
          </w:r>
          <w:r>
            <w:rPr>
              <w:sz w:val="24"/>
            </w:rPr>
            <w:tab/>
          </w:r>
          <w:r>
            <w:rPr>
              <w:rStyle w:val="13"/>
              <w:rFonts w:hint="eastAsia"/>
              <w:sz w:val="24"/>
            </w:rPr>
            <w:t>业务规则与流程</w:t>
          </w:r>
          <w:r>
            <w:rPr>
              <w:sz w:val="24"/>
            </w:rPr>
            <w:tab/>
          </w:r>
          <w:r>
            <w:rPr>
              <w:sz w:val="24"/>
            </w:rPr>
            <w:fldChar w:fldCharType="begin"/>
          </w:r>
          <w:r>
            <w:rPr>
              <w:sz w:val="24"/>
            </w:rPr>
            <w:instrText xml:space="preserve"> PAGEREF _Toc42040199 \h </w:instrText>
          </w:r>
          <w:r>
            <w:rPr>
              <w:sz w:val="24"/>
            </w:rPr>
            <w:fldChar w:fldCharType="separate"/>
          </w:r>
          <w:r>
            <w:rPr>
              <w:sz w:val="24"/>
            </w:rPr>
            <w:t>5</w:t>
          </w:r>
          <w:r>
            <w:rPr>
              <w:sz w:val="24"/>
            </w:rPr>
            <w:fldChar w:fldCharType="end"/>
          </w:r>
          <w:r>
            <w:rPr>
              <w:sz w:val="24"/>
            </w:rPr>
            <w:fldChar w:fldCharType="end"/>
          </w:r>
        </w:p>
        <w:p>
          <w:pPr>
            <w:pStyle w:val="9"/>
          </w:pPr>
          <w:r>
            <w:fldChar w:fldCharType="begin"/>
          </w:r>
          <w:r>
            <w:instrText xml:space="preserve"> HYPERLINK \l "_Toc42040200" </w:instrText>
          </w:r>
          <w:r>
            <w:fldChar w:fldCharType="separate"/>
          </w:r>
          <w:r>
            <w:rPr>
              <w:rStyle w:val="13"/>
              <w:sz w:val="24"/>
            </w:rPr>
            <w:t>2.1</w:t>
          </w:r>
          <w:r>
            <w:tab/>
          </w:r>
          <w:r>
            <w:rPr>
              <w:rStyle w:val="13"/>
              <w:rFonts w:hint="eastAsia"/>
              <w:sz w:val="24"/>
            </w:rPr>
            <w:t>会员注册</w:t>
          </w:r>
          <w:r>
            <w:tab/>
          </w:r>
          <w:r>
            <w:fldChar w:fldCharType="begin"/>
          </w:r>
          <w:r>
            <w:instrText xml:space="preserve"> PAGEREF _Toc42040200 \h </w:instrText>
          </w:r>
          <w:r>
            <w:fldChar w:fldCharType="separate"/>
          </w:r>
          <w:r>
            <w:t>5</w:t>
          </w:r>
          <w:r>
            <w:fldChar w:fldCharType="end"/>
          </w:r>
          <w:r>
            <w:fldChar w:fldCharType="end"/>
          </w:r>
        </w:p>
        <w:p>
          <w:pPr>
            <w:pStyle w:val="9"/>
          </w:pPr>
          <w:r>
            <w:fldChar w:fldCharType="begin"/>
          </w:r>
          <w:r>
            <w:instrText xml:space="preserve"> HYPERLINK \l "_Toc42040201" </w:instrText>
          </w:r>
          <w:r>
            <w:fldChar w:fldCharType="separate"/>
          </w:r>
          <w:r>
            <w:rPr>
              <w:rStyle w:val="13"/>
              <w:sz w:val="24"/>
            </w:rPr>
            <w:t>2.2</w:t>
          </w:r>
          <w:r>
            <w:tab/>
          </w:r>
          <w:r>
            <w:rPr>
              <w:rStyle w:val="13"/>
              <w:rFonts w:hint="eastAsia"/>
              <w:sz w:val="24"/>
            </w:rPr>
            <w:t>重要资料同步</w:t>
          </w:r>
          <w:r>
            <w:tab/>
          </w:r>
          <w:r>
            <w:fldChar w:fldCharType="begin"/>
          </w:r>
          <w:r>
            <w:instrText xml:space="preserve"> PAGEREF _Toc42040201 \h </w:instrText>
          </w:r>
          <w:r>
            <w:fldChar w:fldCharType="separate"/>
          </w:r>
          <w:r>
            <w:t>6</w:t>
          </w:r>
          <w:r>
            <w:fldChar w:fldCharType="end"/>
          </w:r>
          <w:r>
            <w:fldChar w:fldCharType="end"/>
          </w:r>
        </w:p>
        <w:p>
          <w:pPr>
            <w:pStyle w:val="9"/>
          </w:pPr>
          <w:r>
            <w:fldChar w:fldCharType="begin"/>
          </w:r>
          <w:r>
            <w:instrText xml:space="preserve"> HYPERLINK \l "_Toc42040202" </w:instrText>
          </w:r>
          <w:r>
            <w:fldChar w:fldCharType="separate"/>
          </w:r>
          <w:r>
            <w:rPr>
              <w:rStyle w:val="13"/>
              <w:sz w:val="24"/>
            </w:rPr>
            <w:t>2.3</w:t>
          </w:r>
          <w:r>
            <w:tab/>
          </w:r>
          <w:r>
            <w:rPr>
              <w:rStyle w:val="13"/>
              <w:rFonts w:hint="eastAsia"/>
              <w:sz w:val="24"/>
            </w:rPr>
            <w:t>上架愉哈哈商品</w:t>
          </w:r>
          <w:r>
            <w:tab/>
          </w:r>
          <w:r>
            <w:fldChar w:fldCharType="begin"/>
          </w:r>
          <w:r>
            <w:instrText xml:space="preserve"> PAGEREF _Toc42040202 \h </w:instrText>
          </w:r>
          <w:r>
            <w:fldChar w:fldCharType="separate"/>
          </w:r>
          <w:r>
            <w:t>7</w:t>
          </w:r>
          <w:r>
            <w:fldChar w:fldCharType="end"/>
          </w:r>
          <w:r>
            <w:fldChar w:fldCharType="end"/>
          </w:r>
        </w:p>
        <w:p>
          <w:pPr>
            <w:pStyle w:val="9"/>
          </w:pPr>
          <w:r>
            <w:fldChar w:fldCharType="begin"/>
          </w:r>
          <w:r>
            <w:instrText xml:space="preserve"> HYPERLINK \l "_Toc42040203" </w:instrText>
          </w:r>
          <w:r>
            <w:fldChar w:fldCharType="separate"/>
          </w:r>
          <w:r>
            <w:rPr>
              <w:rStyle w:val="13"/>
              <w:sz w:val="24"/>
            </w:rPr>
            <w:t>2.4</w:t>
          </w:r>
          <w:r>
            <w:tab/>
          </w:r>
          <w:r>
            <w:rPr>
              <w:rStyle w:val="13"/>
              <w:rFonts w:hint="eastAsia"/>
              <w:sz w:val="24"/>
            </w:rPr>
            <w:t>愉哈哈积分兑换</w:t>
          </w:r>
          <w:r>
            <w:tab/>
          </w:r>
          <w:r>
            <w:fldChar w:fldCharType="begin"/>
          </w:r>
          <w:r>
            <w:instrText xml:space="preserve"> PAGEREF _Toc42040203 \h </w:instrText>
          </w:r>
          <w:r>
            <w:fldChar w:fldCharType="separate"/>
          </w:r>
          <w:r>
            <w:t>8</w:t>
          </w:r>
          <w:r>
            <w:fldChar w:fldCharType="end"/>
          </w:r>
          <w:r>
            <w:fldChar w:fldCharType="end"/>
          </w:r>
        </w:p>
        <w:p>
          <w:pPr>
            <w:pStyle w:val="9"/>
          </w:pPr>
          <w:r>
            <w:fldChar w:fldCharType="begin"/>
          </w:r>
          <w:r>
            <w:instrText xml:space="preserve"> HYPERLINK \l "_Toc42040204" </w:instrText>
          </w:r>
          <w:r>
            <w:fldChar w:fldCharType="separate"/>
          </w:r>
          <w:r>
            <w:rPr>
              <w:rStyle w:val="13"/>
              <w:sz w:val="24"/>
            </w:rPr>
            <w:t>2.5</w:t>
          </w:r>
          <w:r>
            <w:tab/>
          </w:r>
          <w:r>
            <w:rPr>
              <w:rStyle w:val="13"/>
              <w:rFonts w:hint="eastAsia"/>
              <w:sz w:val="24"/>
            </w:rPr>
            <w:t>农哈哈商品兑换</w:t>
          </w:r>
          <w:r>
            <w:tab/>
          </w:r>
          <w:r>
            <w:fldChar w:fldCharType="begin"/>
          </w:r>
          <w:r>
            <w:instrText xml:space="preserve"> PAGEREF _Toc42040204 \h </w:instrText>
          </w:r>
          <w:r>
            <w:fldChar w:fldCharType="separate"/>
          </w:r>
          <w:r>
            <w:t>9</w:t>
          </w:r>
          <w:r>
            <w:fldChar w:fldCharType="end"/>
          </w:r>
          <w:r>
            <w:fldChar w:fldCharType="end"/>
          </w:r>
        </w:p>
        <w:p>
          <w:pPr>
            <w:pStyle w:val="9"/>
          </w:pPr>
          <w:r>
            <w:fldChar w:fldCharType="begin"/>
          </w:r>
          <w:r>
            <w:instrText xml:space="preserve"> HYPERLINK \l "_Toc42040205" </w:instrText>
          </w:r>
          <w:r>
            <w:fldChar w:fldCharType="separate"/>
          </w:r>
          <w:r>
            <w:rPr>
              <w:rStyle w:val="13"/>
              <w:sz w:val="24"/>
            </w:rPr>
            <w:t>2.6</w:t>
          </w:r>
          <w:r>
            <w:tab/>
          </w:r>
          <w:r>
            <w:rPr>
              <w:rStyle w:val="13"/>
              <w:rFonts w:hint="eastAsia"/>
              <w:sz w:val="24"/>
            </w:rPr>
            <w:t>农哈哈线下提货</w:t>
          </w:r>
          <w:r>
            <w:tab/>
          </w:r>
          <w:r>
            <w:fldChar w:fldCharType="begin"/>
          </w:r>
          <w:r>
            <w:instrText xml:space="preserve"> PAGEREF _Toc42040205 \h </w:instrText>
          </w:r>
          <w:r>
            <w:fldChar w:fldCharType="separate"/>
          </w:r>
          <w:r>
            <w:t>10</w:t>
          </w:r>
          <w:r>
            <w:fldChar w:fldCharType="end"/>
          </w:r>
          <w:r>
            <w:fldChar w:fldCharType="end"/>
          </w:r>
        </w:p>
        <w:p>
          <w:pPr>
            <w:pStyle w:val="9"/>
          </w:pPr>
          <w:r>
            <w:fldChar w:fldCharType="begin"/>
          </w:r>
          <w:r>
            <w:instrText xml:space="preserve"> HYPERLINK \l "_Toc42040206" </w:instrText>
          </w:r>
          <w:r>
            <w:fldChar w:fldCharType="separate"/>
          </w:r>
          <w:r>
            <w:rPr>
              <w:rStyle w:val="13"/>
              <w:sz w:val="24"/>
            </w:rPr>
            <w:t>2.7</w:t>
          </w:r>
          <w:r>
            <w:tab/>
          </w:r>
          <w:r>
            <w:rPr>
              <w:rStyle w:val="13"/>
              <w:rFonts w:hint="eastAsia"/>
              <w:sz w:val="24"/>
            </w:rPr>
            <w:t>两方积分结算</w:t>
          </w:r>
          <w:r>
            <w:tab/>
          </w:r>
          <w:r>
            <w:fldChar w:fldCharType="begin"/>
          </w:r>
          <w:r>
            <w:instrText xml:space="preserve"> PAGEREF _Toc42040206 \h </w:instrText>
          </w:r>
          <w:r>
            <w:fldChar w:fldCharType="separate"/>
          </w:r>
          <w:r>
            <w:t>11</w:t>
          </w:r>
          <w:r>
            <w:fldChar w:fldCharType="end"/>
          </w:r>
          <w:r>
            <w:fldChar w:fldCharType="end"/>
          </w:r>
        </w:p>
        <w:p>
          <w:pPr>
            <w:pStyle w:val="9"/>
          </w:pPr>
          <w:r>
            <w:fldChar w:fldCharType="begin"/>
          </w:r>
          <w:r>
            <w:instrText xml:space="preserve"> HYPERLINK \l "_Toc42040207" </w:instrText>
          </w:r>
          <w:r>
            <w:fldChar w:fldCharType="separate"/>
          </w:r>
          <w:r>
            <w:rPr>
              <w:rStyle w:val="13"/>
              <w:sz w:val="24"/>
            </w:rPr>
            <w:t>2.8</w:t>
          </w:r>
          <w:r>
            <w:tab/>
          </w:r>
          <w:r>
            <w:rPr>
              <w:rStyle w:val="13"/>
              <w:rFonts w:hint="eastAsia"/>
              <w:sz w:val="24"/>
            </w:rPr>
            <w:t>订单借贷业务</w:t>
          </w:r>
          <w:r>
            <w:tab/>
          </w:r>
          <w:r>
            <w:fldChar w:fldCharType="begin"/>
          </w:r>
          <w:r>
            <w:instrText xml:space="preserve"> PAGEREF _Toc42040207 \h </w:instrText>
          </w:r>
          <w:r>
            <w:fldChar w:fldCharType="separate"/>
          </w:r>
          <w:r>
            <w:t>12</w:t>
          </w:r>
          <w:r>
            <w:fldChar w:fldCharType="end"/>
          </w:r>
          <w:r>
            <w:fldChar w:fldCharType="end"/>
          </w:r>
        </w:p>
        <w:p>
          <w:pPr>
            <w:pStyle w:val="8"/>
            <w:tabs>
              <w:tab w:val="left" w:pos="420"/>
              <w:tab w:val="right" w:leader="dot" w:pos="8296"/>
            </w:tabs>
            <w:spacing w:line="360" w:lineRule="auto"/>
            <w:rPr>
              <w:sz w:val="24"/>
            </w:rPr>
          </w:pPr>
          <w:r>
            <w:fldChar w:fldCharType="begin"/>
          </w:r>
          <w:r>
            <w:instrText xml:space="preserve"> HYPERLINK \l "_Toc42040208" </w:instrText>
          </w:r>
          <w:r>
            <w:fldChar w:fldCharType="separate"/>
          </w:r>
          <w:r>
            <w:rPr>
              <w:rStyle w:val="13"/>
              <w:sz w:val="24"/>
            </w:rPr>
            <w:t>3</w:t>
          </w:r>
          <w:r>
            <w:rPr>
              <w:sz w:val="24"/>
            </w:rPr>
            <w:tab/>
          </w:r>
          <w:r>
            <w:rPr>
              <w:rStyle w:val="13"/>
              <w:rFonts w:hint="eastAsia"/>
              <w:sz w:val="24"/>
            </w:rPr>
            <w:t>功能模块</w:t>
          </w:r>
          <w:r>
            <w:rPr>
              <w:sz w:val="24"/>
            </w:rPr>
            <w:tab/>
          </w:r>
          <w:r>
            <w:rPr>
              <w:sz w:val="24"/>
            </w:rPr>
            <w:fldChar w:fldCharType="begin"/>
          </w:r>
          <w:r>
            <w:rPr>
              <w:sz w:val="24"/>
            </w:rPr>
            <w:instrText xml:space="preserve"> PAGEREF _Toc42040208 \h </w:instrText>
          </w:r>
          <w:r>
            <w:rPr>
              <w:sz w:val="24"/>
            </w:rPr>
            <w:fldChar w:fldCharType="separate"/>
          </w:r>
          <w:r>
            <w:rPr>
              <w:sz w:val="24"/>
            </w:rPr>
            <w:t>12</w:t>
          </w:r>
          <w:r>
            <w:rPr>
              <w:sz w:val="24"/>
            </w:rPr>
            <w:fldChar w:fldCharType="end"/>
          </w:r>
          <w:r>
            <w:rPr>
              <w:sz w:val="24"/>
            </w:rPr>
            <w:fldChar w:fldCharType="end"/>
          </w:r>
        </w:p>
        <w:p>
          <w:pPr>
            <w:pStyle w:val="8"/>
            <w:tabs>
              <w:tab w:val="left" w:pos="420"/>
              <w:tab w:val="right" w:leader="dot" w:pos="8296"/>
            </w:tabs>
            <w:spacing w:line="360" w:lineRule="auto"/>
            <w:rPr>
              <w:sz w:val="24"/>
            </w:rPr>
          </w:pPr>
          <w:r>
            <w:fldChar w:fldCharType="begin"/>
          </w:r>
          <w:r>
            <w:instrText xml:space="preserve"> HYPERLINK \l "_Toc42040209" </w:instrText>
          </w:r>
          <w:r>
            <w:fldChar w:fldCharType="separate"/>
          </w:r>
          <w:r>
            <w:rPr>
              <w:rStyle w:val="13"/>
              <w:sz w:val="24"/>
            </w:rPr>
            <w:t>4</w:t>
          </w:r>
          <w:r>
            <w:rPr>
              <w:sz w:val="24"/>
            </w:rPr>
            <w:tab/>
          </w:r>
          <w:r>
            <w:rPr>
              <w:rStyle w:val="13"/>
              <w:rFonts w:hint="eastAsia"/>
              <w:sz w:val="24"/>
            </w:rPr>
            <w:t>开发计划</w:t>
          </w:r>
          <w:r>
            <w:rPr>
              <w:sz w:val="24"/>
            </w:rPr>
            <w:tab/>
          </w:r>
          <w:r>
            <w:rPr>
              <w:sz w:val="24"/>
            </w:rPr>
            <w:fldChar w:fldCharType="begin"/>
          </w:r>
          <w:r>
            <w:rPr>
              <w:sz w:val="24"/>
            </w:rPr>
            <w:instrText xml:space="preserve"> PAGEREF _Toc42040209 \h </w:instrText>
          </w:r>
          <w:r>
            <w:rPr>
              <w:sz w:val="24"/>
            </w:rPr>
            <w:fldChar w:fldCharType="separate"/>
          </w:r>
          <w:r>
            <w:rPr>
              <w:sz w:val="24"/>
            </w:rPr>
            <w:t>12</w:t>
          </w:r>
          <w:r>
            <w:rPr>
              <w:sz w:val="24"/>
            </w:rPr>
            <w:fldChar w:fldCharType="end"/>
          </w:r>
          <w:r>
            <w:rPr>
              <w:sz w:val="24"/>
            </w:rPr>
            <w:fldChar w:fldCharType="end"/>
          </w:r>
        </w:p>
        <w:p>
          <w:pPr>
            <w:spacing w:line="360" w:lineRule="auto"/>
          </w:pPr>
          <w:r>
            <w:rPr>
              <w:b/>
              <w:bCs/>
              <w:sz w:val="24"/>
              <w:lang w:val="zh-CN"/>
            </w:rPr>
            <w:fldChar w:fldCharType="end"/>
          </w:r>
        </w:p>
      </w:sdtContent>
    </w:sdt>
    <w:p>
      <w:pPr>
        <w:widowControl/>
        <w:jc w:val="left"/>
        <w:rPr>
          <w:rFonts w:asciiTheme="minorEastAsia" w:hAnsiTheme="minorEastAsia"/>
          <w:sz w:val="24"/>
        </w:rPr>
      </w:pPr>
      <w:r>
        <w:rPr>
          <w:rFonts w:asciiTheme="minorEastAsia" w:hAnsiTheme="minorEastAsia"/>
          <w:sz w:val="24"/>
        </w:rPr>
        <w:br w:type="page"/>
      </w:r>
    </w:p>
    <w:p>
      <w:pPr>
        <w:pStyle w:val="2"/>
        <w:numPr>
          <w:ilvl w:val="0"/>
          <w:numId w:val="1"/>
        </w:numPr>
      </w:pPr>
      <w:bookmarkStart w:id="0" w:name="_Toc42040195"/>
      <w:r>
        <w:t>项目目标</w:t>
      </w:r>
      <w:bookmarkEnd w:id="0"/>
    </w:p>
    <w:p>
      <w:pPr>
        <w:pStyle w:val="3"/>
        <w:numPr>
          <w:ilvl w:val="1"/>
          <w:numId w:val="1"/>
        </w:numPr>
      </w:pPr>
      <w:bookmarkStart w:id="1" w:name="_Toc42040196"/>
      <w:bookmarkStart w:id="2" w:name="_Toc12045373"/>
      <w:r>
        <w:rPr>
          <w:rFonts w:hint="eastAsia"/>
        </w:rPr>
        <w:t>总体目标</w:t>
      </w:r>
      <w:bookmarkEnd w:id="1"/>
    </w:p>
    <w:p>
      <w:pPr>
        <w:spacing w:line="360" w:lineRule="auto"/>
        <w:ind w:firstLine="480" w:firstLineChars="200"/>
        <w:rPr>
          <w:sz w:val="24"/>
        </w:rPr>
      </w:pPr>
      <w:r>
        <w:rPr>
          <w:sz w:val="24"/>
        </w:rPr>
        <w:t>在农哈哈系统一期基础上，完善农哈哈系统</w:t>
      </w:r>
      <w:r>
        <w:rPr>
          <w:rFonts w:hint="eastAsia"/>
          <w:sz w:val="24"/>
        </w:rPr>
        <w:t>（简称农哈哈）</w:t>
      </w:r>
      <w:r>
        <w:rPr>
          <w:sz w:val="24"/>
        </w:rPr>
        <w:t>与愉哈哈平台（简称愉哈哈）的数据交换以及业务交互功能。</w:t>
      </w:r>
    </w:p>
    <w:p>
      <w:pPr>
        <w:pStyle w:val="3"/>
        <w:numPr>
          <w:ilvl w:val="1"/>
          <w:numId w:val="1"/>
        </w:numPr>
      </w:pPr>
      <w:bookmarkStart w:id="3" w:name="_Toc42040197"/>
      <w:r>
        <w:rPr>
          <w:rFonts w:hint="eastAsia"/>
        </w:rPr>
        <w:t>目标分解</w:t>
      </w:r>
      <w:bookmarkEnd w:id="3"/>
    </w:p>
    <w:p>
      <w:pPr>
        <w:spacing w:line="360" w:lineRule="auto"/>
        <w:rPr>
          <w:sz w:val="24"/>
        </w:rPr>
      </w:pPr>
      <w:r>
        <w:rPr>
          <w:rFonts w:hint="eastAsia"/>
          <w:sz w:val="24"/>
        </w:rPr>
        <w:t>二期项目将实现以下主要功能：</w:t>
      </w:r>
    </w:p>
    <w:p>
      <w:pPr>
        <w:pStyle w:val="19"/>
        <w:numPr>
          <w:ilvl w:val="0"/>
          <w:numId w:val="2"/>
        </w:numPr>
        <w:spacing w:line="360" w:lineRule="auto"/>
        <w:ind w:firstLineChars="0"/>
        <w:rPr>
          <w:sz w:val="24"/>
        </w:rPr>
      </w:pPr>
      <w:r>
        <w:rPr>
          <w:rFonts w:hint="eastAsia"/>
          <w:sz w:val="24"/>
        </w:rPr>
        <w:t>愉哈哈兼容农哈哈平台会员，且两方会员主要信息同步；</w:t>
      </w:r>
    </w:p>
    <w:p>
      <w:pPr>
        <w:pStyle w:val="19"/>
        <w:numPr>
          <w:ilvl w:val="0"/>
          <w:numId w:val="2"/>
        </w:numPr>
        <w:spacing w:line="360" w:lineRule="auto"/>
        <w:ind w:firstLineChars="0"/>
        <w:rPr>
          <w:sz w:val="24"/>
        </w:rPr>
      </w:pPr>
      <w:r>
        <w:rPr>
          <w:rFonts w:hint="eastAsia"/>
          <w:sz w:val="24"/>
        </w:rPr>
        <w:t>农哈哈所产生的会员积分可以在愉哈哈平台上进行使用，且两方农哈哈积分应保持一致；</w:t>
      </w:r>
    </w:p>
    <w:p>
      <w:pPr>
        <w:pStyle w:val="19"/>
        <w:numPr>
          <w:ilvl w:val="0"/>
          <w:numId w:val="2"/>
        </w:numPr>
        <w:spacing w:line="360" w:lineRule="auto"/>
        <w:ind w:firstLineChars="0"/>
        <w:rPr>
          <w:sz w:val="24"/>
        </w:rPr>
      </w:pPr>
      <w:r>
        <w:rPr>
          <w:rFonts w:hint="eastAsia"/>
          <w:sz w:val="24"/>
        </w:rPr>
        <w:t>农哈哈会将愉哈哈平台商品放于自身积分商城中进行兑换；</w:t>
      </w:r>
    </w:p>
    <w:p>
      <w:pPr>
        <w:pStyle w:val="19"/>
        <w:numPr>
          <w:ilvl w:val="0"/>
          <w:numId w:val="2"/>
        </w:numPr>
        <w:spacing w:line="360" w:lineRule="auto"/>
        <w:ind w:firstLineChars="0"/>
        <w:rPr>
          <w:sz w:val="24"/>
        </w:rPr>
      </w:pPr>
      <w:r>
        <w:rPr>
          <w:rFonts w:hint="eastAsia"/>
          <w:sz w:val="24"/>
        </w:rPr>
        <w:t>农哈哈不会对积分商城中商品进行维护，积分商城中业务行为均由愉哈哈平台统一维护；</w:t>
      </w:r>
    </w:p>
    <w:p>
      <w:pPr>
        <w:pStyle w:val="19"/>
        <w:numPr>
          <w:ilvl w:val="0"/>
          <w:numId w:val="2"/>
        </w:numPr>
        <w:spacing w:line="360" w:lineRule="auto"/>
        <w:ind w:firstLineChars="0"/>
        <w:rPr>
          <w:sz w:val="24"/>
        </w:rPr>
      </w:pPr>
      <w:r>
        <w:rPr>
          <w:rFonts w:hint="eastAsia"/>
          <w:sz w:val="24"/>
        </w:rPr>
        <w:t>农哈哈与愉哈哈积分结算以人民币做为结算货币；</w:t>
      </w:r>
    </w:p>
    <w:p>
      <w:pPr>
        <w:pStyle w:val="19"/>
        <w:numPr>
          <w:ilvl w:val="0"/>
          <w:numId w:val="2"/>
        </w:numPr>
        <w:spacing w:line="360" w:lineRule="auto"/>
        <w:ind w:firstLineChars="0"/>
        <w:rPr>
          <w:sz w:val="24"/>
        </w:rPr>
      </w:pPr>
      <w:r>
        <w:rPr>
          <w:rFonts w:hint="eastAsia"/>
          <w:sz w:val="24"/>
        </w:rPr>
        <w:t>为农哈哈打造一种订单借贷的金融产品；</w:t>
      </w:r>
    </w:p>
    <w:p>
      <w:pPr>
        <w:pStyle w:val="3"/>
        <w:numPr>
          <w:ilvl w:val="1"/>
          <w:numId w:val="1"/>
        </w:numPr>
      </w:pPr>
      <w:bookmarkStart w:id="4" w:name="_Toc42040198"/>
      <w:r>
        <w:rPr>
          <w:rFonts w:hint="eastAsia"/>
        </w:rPr>
        <w:t>术语定义</w:t>
      </w:r>
      <w:bookmarkEnd w:id="2"/>
      <w:bookmarkEnd w:id="4"/>
    </w:p>
    <w:p/>
    <w:p>
      <w:pPr>
        <w:widowControl/>
        <w:jc w:val="left"/>
      </w:pPr>
      <w:r>
        <w:br w:type="page"/>
      </w:r>
    </w:p>
    <w:p>
      <w:pPr>
        <w:pStyle w:val="2"/>
        <w:numPr>
          <w:ilvl w:val="0"/>
          <w:numId w:val="1"/>
        </w:numPr>
      </w:pPr>
      <w:bookmarkStart w:id="5" w:name="_Toc12045382"/>
      <w:bookmarkStart w:id="6" w:name="_Toc42040199"/>
      <w:r>
        <w:rPr>
          <w:rFonts w:hint="eastAsia"/>
        </w:rPr>
        <w:t>业务规则</w:t>
      </w:r>
      <w:bookmarkEnd w:id="5"/>
      <w:r>
        <w:rPr>
          <w:rFonts w:hint="eastAsia"/>
        </w:rPr>
        <w:t>与流程</w:t>
      </w:r>
      <w:bookmarkEnd w:id="6"/>
    </w:p>
    <w:p>
      <w:pPr>
        <w:pStyle w:val="3"/>
        <w:numPr>
          <w:ilvl w:val="1"/>
          <w:numId w:val="1"/>
        </w:numPr>
      </w:pPr>
      <w:bookmarkStart w:id="7" w:name="_Toc42040200"/>
      <w:r>
        <w:rPr>
          <w:rFonts w:hint="eastAsia"/>
        </w:rPr>
        <w:t>会员注册</w:t>
      </w:r>
      <w:bookmarkEnd w:id="7"/>
    </w:p>
    <w:tbl>
      <w:tblPr>
        <w:tblStyle w:val="11"/>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6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eastAsiaTheme="minorEastAsia"/>
                <w:vertAlign w:val="baseline"/>
                <w:lang w:eastAsia="zh-CN"/>
              </w:rPr>
            </w:pPr>
            <w:r>
              <w:rPr>
                <w:rFonts w:hint="eastAsia" w:ascii="微软雅黑" w:hAnsi="微软雅黑" w:eastAsia="微软雅黑" w:cs="微软雅黑"/>
                <w:b/>
                <w:bCs/>
                <w:vertAlign w:val="baseline"/>
                <w:lang w:eastAsia="zh-CN"/>
              </w:rPr>
              <w:t>用户场景</w:t>
            </w:r>
          </w:p>
        </w:tc>
        <w:tc>
          <w:tcPr>
            <w:tcW w:w="6486" w:type="dxa"/>
            <w:vAlign w:val="center"/>
          </w:tcPr>
          <w:p>
            <w:pPr>
              <w:jc w:val="left"/>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农哈哈新用户注册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输入</w:t>
            </w:r>
            <w:r>
              <w:rPr>
                <w:rFonts w:hint="eastAsia" w:ascii="微软雅黑" w:hAnsi="微软雅黑" w:eastAsia="微软雅黑" w:cs="微软雅黑"/>
                <w:b/>
                <w:bCs/>
                <w:vertAlign w:val="baseline"/>
                <w:lang w:val="en-US" w:eastAsia="zh-CN"/>
              </w:rPr>
              <w:t>/</w:t>
            </w:r>
            <w:r>
              <w:rPr>
                <w:rFonts w:hint="eastAsia" w:ascii="微软雅黑" w:hAnsi="微软雅黑" w:eastAsia="微软雅黑" w:cs="微软雅黑"/>
                <w:b/>
                <w:bCs/>
                <w:vertAlign w:val="baseline"/>
                <w:lang w:eastAsia="zh-CN"/>
              </w:rPr>
              <w:t>前置条件</w:t>
            </w:r>
          </w:p>
        </w:tc>
        <w:tc>
          <w:tcPr>
            <w:tcW w:w="6486" w:type="dxa"/>
            <w:vAlign w:val="center"/>
          </w:tcPr>
          <w:p>
            <w:pPr>
              <w:jc w:val="left"/>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农哈哈的新用户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需求描述</w:t>
            </w:r>
          </w:p>
        </w:tc>
        <w:tc>
          <w:tcPr>
            <w:tcW w:w="6486" w:type="dxa"/>
            <w:vAlign w:val="center"/>
          </w:tcPr>
          <w:p>
            <w:pPr>
              <w:numPr>
                <w:ilvl w:val="0"/>
                <w:numId w:val="3"/>
              </w:numPr>
              <w:spacing w:line="240" w:lineRule="auto"/>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b/>
                <w:bCs/>
                <w:vertAlign w:val="baseline"/>
                <w:lang w:val="en-US" w:eastAsia="zh-CN"/>
              </w:rPr>
              <w:t>整体描述：</w:t>
            </w:r>
            <w:r>
              <w:rPr>
                <w:rFonts w:hint="eastAsia" w:ascii="微软雅黑" w:hAnsi="微软雅黑" w:eastAsia="微软雅黑" w:cs="微软雅黑"/>
                <w:vertAlign w:val="baseline"/>
                <w:lang w:val="en-US" w:eastAsia="zh-CN"/>
              </w:rPr>
              <w:t>农哈哈新用户注册成功后，会员信息同步到愉哈哈，愉哈哈系统判断该用户是否已注册愉哈哈会员，如已注册则更新会员信息使两个平台的会员信息一致，如未注册则自动在愉哈哈平台注册新会员；</w:t>
            </w:r>
          </w:p>
          <w:p>
            <w:pPr>
              <w:numPr>
                <w:ilvl w:val="0"/>
                <w:numId w:val="3"/>
              </w:numPr>
              <w:spacing w:line="240" w:lineRule="auto"/>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两个系统以会员手机号为唯一标识；</w:t>
            </w:r>
          </w:p>
          <w:p>
            <w:pPr>
              <w:numPr>
                <w:ilvl w:val="0"/>
                <w:numId w:val="3"/>
              </w:numPr>
              <w:spacing w:line="240" w:lineRule="auto"/>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农哈哈之前的老数据不需要同步到愉哈哈；</w:t>
            </w:r>
          </w:p>
          <w:p>
            <w:pPr>
              <w:numPr>
                <w:ilvl w:val="0"/>
                <w:numId w:val="3"/>
              </w:numPr>
              <w:spacing w:line="240" w:lineRule="auto"/>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愉哈哈新注册会员无需同步到农哈哈；</w:t>
            </w:r>
          </w:p>
          <w:p>
            <w:pPr>
              <w:numPr>
                <w:ilvl w:val="0"/>
                <w:numId w:val="3"/>
              </w:numPr>
              <w:spacing w:line="240" w:lineRule="auto"/>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在愉哈哈平台可查看农哈哈的剩余积分数；</w:t>
            </w:r>
          </w:p>
          <w:p>
            <w:pPr>
              <w:numPr>
                <w:ilvl w:val="0"/>
                <w:numId w:val="3"/>
              </w:numPr>
              <w:spacing w:line="240" w:lineRule="auto"/>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b/>
                <w:bCs/>
                <w:vertAlign w:val="baseline"/>
                <w:lang w:val="en-US" w:eastAsia="zh-CN"/>
              </w:rPr>
              <w:t>更新会员信息：</w:t>
            </w:r>
            <w:r>
              <w:rPr>
                <w:rFonts w:hint="eastAsia" w:ascii="微软雅黑" w:hAnsi="微软雅黑" w:eastAsia="微软雅黑" w:cs="微软雅黑"/>
                <w:vertAlign w:val="baseline"/>
                <w:lang w:val="en-US" w:eastAsia="zh-CN"/>
              </w:rPr>
              <w:t>使两个平台会员的注册手机号和密码一致，以最新的那条会员信息为准；</w:t>
            </w:r>
          </w:p>
          <w:p>
            <w:pPr>
              <w:numPr>
                <w:ilvl w:val="0"/>
                <w:numId w:val="3"/>
              </w:numPr>
              <w:spacing w:line="240" w:lineRule="auto"/>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农哈哈新用户注册或更改会员信息的时候提示用户现在农哈哈与愉哈哈账号一体化；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补充说明</w:t>
            </w:r>
          </w:p>
        </w:tc>
        <w:tc>
          <w:tcPr>
            <w:tcW w:w="6486" w:type="dxa"/>
            <w:vAlign w:val="center"/>
          </w:tcPr>
          <w:p>
            <w:pPr>
              <w:jc w:val="left"/>
              <w:rPr>
                <w:rFonts w:hint="eastAsia" w:ascii="微软雅黑" w:hAnsi="微软雅黑" w:eastAsia="微软雅黑" w:cs="微软雅黑"/>
                <w:vertAlign w:val="baseline"/>
                <w:lang w:val="en-US" w:eastAsia="zh-CN"/>
              </w:rPr>
            </w:pPr>
          </w:p>
        </w:tc>
      </w:tr>
    </w:tbl>
    <w:p/>
    <w:p/>
    <w:p>
      <w:pPr>
        <w:spacing w:line="360" w:lineRule="auto"/>
      </w:pPr>
      <w:r>
        <w:object>
          <v:shape id="_x0000_i1025" o:spt="75" type="#_x0000_t75" style="height:453.75pt;width:407.25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pPr>
        <w:widowControl/>
        <w:jc w:val="left"/>
      </w:pPr>
      <w:r>
        <w:br w:type="page"/>
      </w:r>
    </w:p>
    <w:p>
      <w:pPr>
        <w:pStyle w:val="3"/>
        <w:numPr>
          <w:ilvl w:val="1"/>
          <w:numId w:val="1"/>
        </w:numPr>
      </w:pPr>
      <w:bookmarkStart w:id="8" w:name="_Toc42040201"/>
      <w:r>
        <w:rPr>
          <w:rFonts w:hint="eastAsia"/>
        </w:rPr>
        <w:t>重要资料同步</w:t>
      </w:r>
      <w:bookmarkEnd w:id="8"/>
    </w:p>
    <w:tbl>
      <w:tblPr>
        <w:tblStyle w:val="11"/>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6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eastAsiaTheme="minorEastAsia"/>
                <w:vertAlign w:val="baseline"/>
                <w:lang w:eastAsia="zh-CN"/>
              </w:rPr>
            </w:pPr>
            <w:r>
              <w:rPr>
                <w:rFonts w:hint="eastAsia" w:ascii="微软雅黑" w:hAnsi="微软雅黑" w:eastAsia="微软雅黑" w:cs="微软雅黑"/>
                <w:b/>
                <w:bCs/>
                <w:vertAlign w:val="baseline"/>
                <w:lang w:eastAsia="zh-CN"/>
              </w:rPr>
              <w:t>用户场景</w:t>
            </w:r>
          </w:p>
        </w:tc>
        <w:tc>
          <w:tcPr>
            <w:tcW w:w="6486" w:type="dxa"/>
            <w:vAlign w:val="center"/>
          </w:tcPr>
          <w:p>
            <w:pPr>
              <w:jc w:val="left"/>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农哈哈和愉哈哈共同会员修改会员资料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输入</w:t>
            </w:r>
            <w:r>
              <w:rPr>
                <w:rFonts w:hint="eastAsia" w:ascii="微软雅黑" w:hAnsi="微软雅黑" w:eastAsia="微软雅黑" w:cs="微软雅黑"/>
                <w:b/>
                <w:bCs/>
                <w:vertAlign w:val="baseline"/>
                <w:lang w:val="en-US" w:eastAsia="zh-CN"/>
              </w:rPr>
              <w:t>/</w:t>
            </w:r>
            <w:r>
              <w:rPr>
                <w:rFonts w:hint="eastAsia" w:ascii="微软雅黑" w:hAnsi="微软雅黑" w:eastAsia="微软雅黑" w:cs="微软雅黑"/>
                <w:b/>
                <w:bCs/>
                <w:vertAlign w:val="baseline"/>
                <w:lang w:eastAsia="zh-CN"/>
              </w:rPr>
              <w:t>前置条件</w:t>
            </w:r>
          </w:p>
        </w:tc>
        <w:tc>
          <w:tcPr>
            <w:tcW w:w="6486" w:type="dxa"/>
            <w:vAlign w:val="center"/>
          </w:tcPr>
          <w:p>
            <w:pPr>
              <w:jc w:val="left"/>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该会员必须是农哈哈和愉哈哈的共同会员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需求描述</w:t>
            </w:r>
          </w:p>
        </w:tc>
        <w:tc>
          <w:tcPr>
            <w:tcW w:w="6486" w:type="dxa"/>
            <w:vAlign w:val="center"/>
          </w:tcPr>
          <w:p>
            <w:pPr>
              <w:numPr>
                <w:ilvl w:val="0"/>
                <w:numId w:val="4"/>
              </w:num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b/>
                <w:bCs/>
                <w:vertAlign w:val="baseline"/>
                <w:lang w:val="en-US" w:eastAsia="zh-CN"/>
              </w:rPr>
              <w:t>整体描述：</w:t>
            </w:r>
            <w:r>
              <w:rPr>
                <w:rFonts w:hint="eastAsia" w:ascii="微软雅黑" w:hAnsi="微软雅黑" w:eastAsia="微软雅黑" w:cs="微软雅黑"/>
                <w:vertAlign w:val="baseline"/>
                <w:lang w:val="en-US" w:eastAsia="zh-CN"/>
              </w:rPr>
              <w:t>当会员在农哈哈或愉哈哈任一系统中修改手机号码或登录密码等重要信息将同时修改两个系统中的对应信息；</w:t>
            </w:r>
          </w:p>
          <w:p>
            <w:pPr>
              <w:numPr>
                <w:ilvl w:val="0"/>
                <w:numId w:val="4"/>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暂定的重要信息为：用户注册手机号、系统登录密码；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补充说明</w:t>
            </w:r>
          </w:p>
        </w:tc>
        <w:tc>
          <w:tcPr>
            <w:tcW w:w="6486" w:type="dxa"/>
            <w:vAlign w:val="center"/>
          </w:tcPr>
          <w:p>
            <w:pPr>
              <w:numPr>
                <w:ilvl w:val="0"/>
                <w:numId w:val="5"/>
              </w:numPr>
              <w:jc w:val="left"/>
              <w:rPr>
                <w:rFonts w:hint="default" w:ascii="微软雅黑" w:hAnsi="微软雅黑" w:eastAsia="微软雅黑" w:cs="微软雅黑"/>
                <w:b w:val="0"/>
                <w:bCs w:val="0"/>
                <w:vertAlign w:val="baseline"/>
                <w:lang w:val="en-US" w:eastAsia="zh-CN"/>
              </w:rPr>
            </w:pPr>
            <w:r>
              <w:rPr>
                <w:rFonts w:hint="eastAsia" w:ascii="微软雅黑" w:hAnsi="微软雅黑" w:eastAsia="微软雅黑" w:cs="微软雅黑"/>
                <w:b w:val="0"/>
                <w:bCs w:val="0"/>
                <w:vertAlign w:val="baseline"/>
                <w:lang w:val="en-US" w:eastAsia="zh-CN"/>
              </w:rPr>
              <w:t>两个系统中的重要信息始终保持一致；</w:t>
            </w:r>
          </w:p>
        </w:tc>
      </w:tr>
    </w:tbl>
    <w:p/>
    <w:p>
      <w:pPr>
        <w:spacing w:line="360" w:lineRule="auto"/>
        <w:jc w:val="center"/>
        <w:rPr>
          <w:sz w:val="24"/>
        </w:rPr>
      </w:pPr>
      <w:r>
        <w:object>
          <v:shape id="_x0000_i1026" o:spt="75" type="#_x0000_t75" style="height:434.75pt;width:397.45pt;" o:ole="t" filled="f" o:preferrelative="t" stroked="f" coordsize="21600,21600">
            <v:path/>
            <v:fill on="f" focussize="0,0"/>
            <v:stroke on="f"/>
            <v:imagedata r:id="rId9" o:title=""/>
            <o:lock v:ext="edit" aspectratio="t"/>
            <w10:wrap type="none"/>
            <w10:anchorlock/>
          </v:shape>
          <o:OLEObject Type="Embed" ProgID="Visio.Drawing.15" ShapeID="_x0000_i1026" DrawAspect="Content" ObjectID="_1468075726" r:id="rId8">
            <o:LockedField>false</o:LockedField>
          </o:OLEObject>
        </w:object>
      </w:r>
      <w:r>
        <w:rPr>
          <w:sz w:val="24"/>
        </w:rPr>
        <w:br w:type="page"/>
      </w:r>
    </w:p>
    <w:p>
      <w:pPr>
        <w:pStyle w:val="3"/>
        <w:numPr>
          <w:ilvl w:val="1"/>
          <w:numId w:val="1"/>
        </w:numPr>
      </w:pPr>
      <w:bookmarkStart w:id="9" w:name="_Toc42040203"/>
      <w:r>
        <w:rPr>
          <w:rFonts w:hint="eastAsia"/>
        </w:rPr>
        <w:t>愉哈哈积分兑换</w:t>
      </w:r>
      <w:bookmarkEnd w:id="9"/>
    </w:p>
    <w:tbl>
      <w:tblPr>
        <w:tblStyle w:val="11"/>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6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eastAsiaTheme="minorEastAsia"/>
                <w:vertAlign w:val="baseline"/>
                <w:lang w:eastAsia="zh-CN"/>
              </w:rPr>
            </w:pPr>
            <w:r>
              <w:rPr>
                <w:rFonts w:hint="eastAsia" w:ascii="微软雅黑" w:hAnsi="微软雅黑" w:eastAsia="微软雅黑" w:cs="微软雅黑"/>
                <w:b/>
                <w:bCs/>
                <w:vertAlign w:val="baseline"/>
                <w:lang w:eastAsia="zh-CN"/>
              </w:rPr>
              <w:t>用户场景</w:t>
            </w:r>
          </w:p>
        </w:tc>
        <w:tc>
          <w:tcPr>
            <w:tcW w:w="6486" w:type="dxa"/>
            <w:vAlign w:val="center"/>
          </w:tcPr>
          <w:p>
            <w:pPr>
              <w:jc w:val="left"/>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用户在愉哈哈平台购买商品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输入</w:t>
            </w:r>
            <w:r>
              <w:rPr>
                <w:rFonts w:hint="eastAsia" w:ascii="微软雅黑" w:hAnsi="微软雅黑" w:eastAsia="微软雅黑" w:cs="微软雅黑"/>
                <w:b/>
                <w:bCs/>
                <w:vertAlign w:val="baseline"/>
                <w:lang w:val="en-US" w:eastAsia="zh-CN"/>
              </w:rPr>
              <w:t>/</w:t>
            </w:r>
            <w:r>
              <w:rPr>
                <w:rFonts w:hint="eastAsia" w:ascii="微软雅黑" w:hAnsi="微软雅黑" w:eastAsia="微软雅黑" w:cs="微软雅黑"/>
                <w:b/>
                <w:bCs/>
                <w:vertAlign w:val="baseline"/>
                <w:lang w:eastAsia="zh-CN"/>
              </w:rPr>
              <w:t>前置条件</w:t>
            </w:r>
          </w:p>
        </w:tc>
        <w:tc>
          <w:tcPr>
            <w:tcW w:w="6486" w:type="dxa"/>
            <w:vAlign w:val="center"/>
          </w:tcPr>
          <w:p>
            <w:pPr>
              <w:jc w:val="left"/>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用户拥有农哈哈积分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需求描述</w:t>
            </w:r>
          </w:p>
        </w:tc>
        <w:tc>
          <w:tcPr>
            <w:tcW w:w="6486" w:type="dxa"/>
            <w:vAlign w:val="center"/>
          </w:tcPr>
          <w:p>
            <w:pPr>
              <w:numPr>
                <w:ilvl w:val="0"/>
                <w:numId w:val="6"/>
              </w:num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b/>
                <w:bCs/>
                <w:vertAlign w:val="baseline"/>
                <w:lang w:val="en-US" w:eastAsia="zh-CN"/>
              </w:rPr>
              <w:t>整体描述：</w:t>
            </w:r>
            <w:r>
              <w:rPr>
                <w:rFonts w:hint="eastAsia" w:ascii="微软雅黑" w:hAnsi="微软雅黑" w:eastAsia="微软雅黑" w:cs="微软雅黑"/>
                <w:vertAlign w:val="baseline"/>
                <w:lang w:val="en-US" w:eastAsia="zh-CN"/>
              </w:rPr>
              <w:t>在用户下单时愉哈哈从农哈哈获取会员在农哈哈上的积分余额信息，并将用户购买的商品的价格按照规则换算成农哈哈积分数，用户在选择支付方式时选择农哈哈积分进行支付，用户支付成功后愉哈哈生成商品订单，并将支付订单反馈给农哈哈，农哈哈更新会员积分账户余额；</w:t>
            </w:r>
          </w:p>
          <w:p>
            <w:pPr>
              <w:numPr>
                <w:ilvl w:val="0"/>
                <w:numId w:val="6"/>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在愉哈哈平台选择农哈哈积分支付的订单后续流程只能在愉哈哈上操作，农哈哈只能查看该订单；</w:t>
            </w:r>
          </w:p>
          <w:p>
            <w:pPr>
              <w:numPr>
                <w:ilvl w:val="0"/>
                <w:numId w:val="6"/>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用户下单成功后申请退款退货退还积分；</w:t>
            </w:r>
          </w:p>
          <w:p>
            <w:pPr>
              <w:numPr>
                <w:ilvl w:val="0"/>
                <w:numId w:val="6"/>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用户下单成功后的订单如退款退货成功将状态反馈给农哈哈；</w:t>
            </w:r>
            <w:bookmarkStart w:id="14" w:name="_GoBack"/>
            <w:bookmarkEnd w:id="14"/>
          </w:p>
          <w:p>
            <w:pPr>
              <w:numPr>
                <w:ilvl w:val="0"/>
                <w:numId w:val="6"/>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通过农哈哈积分支付的订单需要展示支付方式和商品兑换农哈哈积分数以及商品价格；</w:t>
            </w:r>
          </w:p>
          <w:p>
            <w:pPr>
              <w:numPr>
                <w:ilvl w:val="0"/>
                <w:numId w:val="6"/>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愉哈哈反馈给农哈哈的订单内容有发货状态、商品列表信息、商品总价、运费、订单总价、实付农哈哈积分数、订单信息（订单编号、付款方式、订单提交时间、支付时间）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补充说明</w:t>
            </w:r>
          </w:p>
        </w:tc>
        <w:tc>
          <w:tcPr>
            <w:tcW w:w="6486" w:type="dxa"/>
            <w:vAlign w:val="center"/>
          </w:tcPr>
          <w:p>
            <w:pPr>
              <w:numPr>
                <w:ilvl w:val="0"/>
                <w:numId w:val="0"/>
              </w:numPr>
              <w:jc w:val="left"/>
              <w:rPr>
                <w:rFonts w:hint="default" w:ascii="微软雅黑" w:hAnsi="微软雅黑" w:eastAsia="微软雅黑" w:cs="微软雅黑"/>
                <w:b w:val="0"/>
                <w:bCs w:val="0"/>
                <w:vertAlign w:val="baseline"/>
                <w:lang w:val="en-US" w:eastAsia="zh-CN"/>
              </w:rPr>
            </w:pPr>
          </w:p>
        </w:tc>
      </w:tr>
    </w:tbl>
    <w:p/>
    <w:p>
      <w:pPr>
        <w:spacing w:line="360" w:lineRule="auto"/>
        <w:jc w:val="center"/>
      </w:pPr>
      <w:r>
        <w:object>
          <v:shape id="_x0000_i1027" o:spt="75" type="#_x0000_t75" style="height:518.25pt;width:292.5pt;" o:ole="t" filled="f" o:preferrelative="t" stroked="f" coordsize="21600,21600">
            <v:path/>
            <v:fill on="f" focussize="0,0"/>
            <v:stroke on="f" joinstyle="miter"/>
            <v:imagedata r:id="rId11" o:title=""/>
            <o:lock v:ext="edit" aspectratio="t"/>
            <w10:wrap type="none"/>
            <w10:anchorlock/>
          </v:shape>
          <o:OLEObject Type="Embed" ProgID="Visio.Drawing.15" ShapeID="_x0000_i1027" DrawAspect="Content" ObjectID="_1468075727" r:id="rId10">
            <o:LockedField>false</o:LockedField>
          </o:OLEObject>
        </w:object>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pStyle w:val="3"/>
        <w:numPr>
          <w:ilvl w:val="1"/>
          <w:numId w:val="1"/>
        </w:numPr>
      </w:pPr>
      <w:bookmarkStart w:id="10" w:name="_Toc42040204"/>
      <w:r>
        <w:rPr>
          <w:rFonts w:hint="eastAsia"/>
        </w:rPr>
        <w:t>农哈哈商品兑换</w:t>
      </w:r>
      <w:bookmarkEnd w:id="10"/>
    </w:p>
    <w:tbl>
      <w:tblPr>
        <w:tblStyle w:val="11"/>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6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eastAsiaTheme="minorEastAsia"/>
                <w:vertAlign w:val="baseline"/>
                <w:lang w:eastAsia="zh-CN"/>
              </w:rPr>
            </w:pPr>
            <w:r>
              <w:rPr>
                <w:rFonts w:hint="eastAsia" w:ascii="微软雅黑" w:hAnsi="微软雅黑" w:eastAsia="微软雅黑" w:cs="微软雅黑"/>
                <w:b/>
                <w:bCs/>
                <w:vertAlign w:val="baseline"/>
                <w:lang w:eastAsia="zh-CN"/>
              </w:rPr>
              <w:t>用户场景</w:t>
            </w:r>
          </w:p>
        </w:tc>
        <w:tc>
          <w:tcPr>
            <w:tcW w:w="6486" w:type="dxa"/>
            <w:vAlign w:val="center"/>
          </w:tcPr>
          <w:p>
            <w:pPr>
              <w:jc w:val="left"/>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用户在农哈哈平台兑换商品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输入</w:t>
            </w:r>
            <w:r>
              <w:rPr>
                <w:rFonts w:hint="eastAsia" w:ascii="微软雅黑" w:hAnsi="微软雅黑" w:eastAsia="微软雅黑" w:cs="微软雅黑"/>
                <w:b/>
                <w:bCs/>
                <w:vertAlign w:val="baseline"/>
                <w:lang w:val="en-US" w:eastAsia="zh-CN"/>
              </w:rPr>
              <w:t>/</w:t>
            </w:r>
            <w:r>
              <w:rPr>
                <w:rFonts w:hint="eastAsia" w:ascii="微软雅黑" w:hAnsi="微软雅黑" w:eastAsia="微软雅黑" w:cs="微软雅黑"/>
                <w:b/>
                <w:bCs/>
                <w:vertAlign w:val="baseline"/>
                <w:lang w:eastAsia="zh-CN"/>
              </w:rPr>
              <w:t>前置条件</w:t>
            </w:r>
          </w:p>
        </w:tc>
        <w:tc>
          <w:tcPr>
            <w:tcW w:w="6486" w:type="dxa"/>
            <w:vAlign w:val="center"/>
          </w:tcPr>
          <w:p>
            <w:pPr>
              <w:jc w:val="left"/>
              <w:rPr>
                <w:rFonts w:hint="eastAsia" w:ascii="微软雅黑" w:hAnsi="微软雅黑" w:eastAsia="微软雅黑" w:cs="微软雅黑"/>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需求描述</w:t>
            </w:r>
          </w:p>
        </w:tc>
        <w:tc>
          <w:tcPr>
            <w:tcW w:w="6486" w:type="dxa"/>
            <w:vAlign w:val="center"/>
          </w:tcPr>
          <w:p>
            <w:pPr>
              <w:numPr>
                <w:ilvl w:val="0"/>
                <w:numId w:val="7"/>
              </w:num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b/>
                <w:bCs/>
                <w:vertAlign w:val="baseline"/>
                <w:lang w:val="en-US" w:eastAsia="zh-CN"/>
              </w:rPr>
              <w:t>整体描述:</w:t>
            </w:r>
            <w:r>
              <w:rPr>
                <w:rFonts w:hint="eastAsia" w:ascii="微软雅黑" w:hAnsi="微软雅黑" w:eastAsia="微软雅黑" w:cs="微软雅黑"/>
                <w:vertAlign w:val="baseline"/>
                <w:lang w:val="en-US" w:eastAsia="zh-CN"/>
              </w:rPr>
              <w:t>用户在农哈哈平台使用积分兑换愉哈哈的商品；</w:t>
            </w:r>
          </w:p>
          <w:p>
            <w:pPr>
              <w:numPr>
                <w:ilvl w:val="0"/>
                <w:numId w:val="7"/>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用户在兑换商品时，如未注册愉哈哈会员（之前的老用户）则自动给该用户注册愉哈哈会员；</w:t>
            </w:r>
          </w:p>
          <w:p>
            <w:pPr>
              <w:numPr>
                <w:ilvl w:val="0"/>
                <w:numId w:val="7"/>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b/>
                <w:bCs/>
                <w:vertAlign w:val="baseline"/>
                <w:lang w:val="en-US" w:eastAsia="zh-CN"/>
              </w:rPr>
              <w:t>商品来源：</w:t>
            </w:r>
            <w:r>
              <w:rPr>
                <w:rFonts w:hint="eastAsia" w:ascii="微软雅黑" w:hAnsi="微软雅黑" w:eastAsia="微软雅黑" w:cs="微软雅黑"/>
                <w:vertAlign w:val="baseline"/>
                <w:lang w:val="en-US" w:eastAsia="zh-CN"/>
              </w:rPr>
              <w:t>农哈哈专区的商品全部来自于愉哈哈，该专区的商品由愉哈哈管理员在愉哈哈商品库中设置哪些商品推荐到农哈哈专区；</w:t>
            </w:r>
          </w:p>
          <w:p>
            <w:pPr>
              <w:numPr>
                <w:ilvl w:val="0"/>
                <w:numId w:val="7"/>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推送的商品信息包含：商品缩略图，商品展示图、商品价格、商品名称、商品分类、商品规格、邮费、生产地、商品评价、商品详情；</w:t>
            </w:r>
          </w:p>
          <w:p>
            <w:pPr>
              <w:numPr>
                <w:ilvl w:val="0"/>
                <w:numId w:val="7"/>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商品如果在愉哈哈平台参与活动，在农哈哈也享受活动价；</w:t>
            </w:r>
          </w:p>
          <w:p>
            <w:pPr>
              <w:numPr>
                <w:ilvl w:val="0"/>
                <w:numId w:val="7"/>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农哈哈专区的商品兑换积分额度按照积分兑换规则自动转换显示；</w:t>
            </w:r>
          </w:p>
          <w:p>
            <w:pPr>
              <w:numPr>
                <w:ilvl w:val="0"/>
                <w:numId w:val="7"/>
              </w:numPr>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下单、支付、查看订单农哈哈做界面显示，通过愉哈哈接口处理业务逻辑；</w:t>
            </w:r>
          </w:p>
          <w:p>
            <w:pPr>
              <w:numPr>
                <w:ilvl w:val="0"/>
                <w:numId w:val="7"/>
              </w:numPr>
              <w:spacing w:line="240" w:lineRule="auto"/>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农哈哈平台支持退款、换货，退货、催促发货、查看物流、评价订单、确认收货等；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补充说明</w:t>
            </w:r>
          </w:p>
        </w:tc>
        <w:tc>
          <w:tcPr>
            <w:tcW w:w="6486" w:type="dxa"/>
            <w:vAlign w:val="center"/>
          </w:tcPr>
          <w:p>
            <w:pPr>
              <w:numPr>
                <w:ilvl w:val="0"/>
                <w:numId w:val="0"/>
              </w:numPr>
              <w:jc w:val="left"/>
              <w:rPr>
                <w:rFonts w:hint="default" w:ascii="微软雅黑" w:hAnsi="微软雅黑" w:eastAsia="微软雅黑" w:cs="微软雅黑"/>
                <w:b w:val="0"/>
                <w:bCs w:val="0"/>
                <w:vertAlign w:val="baseline"/>
                <w:lang w:val="en-US" w:eastAsia="zh-CN"/>
              </w:rPr>
            </w:pPr>
          </w:p>
        </w:tc>
      </w:tr>
    </w:tbl>
    <w:p/>
    <w:p>
      <w:pPr>
        <w:widowControl/>
        <w:jc w:val="center"/>
      </w:pPr>
      <w:r>
        <w:object>
          <v:shape id="_x0000_i1028" o:spt="75" type="#_x0000_t75" style="height:546pt;width:382.5pt;" o:ole="t" filled="f" o:preferrelative="t" stroked="f" coordsize="21600,21600">
            <v:path/>
            <v:fill on="f" focussize="0,0"/>
            <v:stroke on="f" joinstyle="miter"/>
            <v:imagedata r:id="rId13" o:title=""/>
            <o:lock v:ext="edit" aspectratio="t"/>
            <w10:wrap type="none"/>
            <w10:anchorlock/>
          </v:shape>
          <o:OLEObject Type="Embed" ProgID="Visio.Drawing.15" ShapeID="_x0000_i1028" DrawAspect="Content" ObjectID="_1468075728" r:id="rId12">
            <o:LockedField>false</o:LockedField>
          </o:OLEObject>
        </w:object>
      </w:r>
    </w:p>
    <w:p>
      <w:pPr>
        <w:widowControl/>
        <w:jc w:val="left"/>
      </w:pPr>
      <w:r>
        <w:br w:type="page"/>
      </w:r>
    </w:p>
    <w:p>
      <w:pPr>
        <w:pStyle w:val="3"/>
        <w:numPr>
          <w:ilvl w:val="1"/>
          <w:numId w:val="1"/>
        </w:numPr>
      </w:pPr>
      <w:bookmarkStart w:id="11" w:name="_Toc42040205"/>
      <w:r>
        <w:rPr>
          <w:rFonts w:hint="eastAsia"/>
        </w:rPr>
        <w:t>农哈哈商品提货</w:t>
      </w:r>
      <w:bookmarkEnd w:id="11"/>
    </w:p>
    <w:tbl>
      <w:tblPr>
        <w:tblStyle w:val="11"/>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6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eastAsiaTheme="minorEastAsia"/>
                <w:vertAlign w:val="baseline"/>
                <w:lang w:eastAsia="zh-CN"/>
              </w:rPr>
            </w:pPr>
            <w:r>
              <w:rPr>
                <w:rFonts w:hint="eastAsia" w:ascii="微软雅黑" w:hAnsi="微软雅黑" w:eastAsia="微软雅黑" w:cs="微软雅黑"/>
                <w:b/>
                <w:bCs/>
                <w:vertAlign w:val="baseline"/>
                <w:lang w:eastAsia="zh-CN"/>
              </w:rPr>
              <w:t>用户场景</w:t>
            </w:r>
          </w:p>
        </w:tc>
        <w:tc>
          <w:tcPr>
            <w:tcW w:w="6486" w:type="dxa"/>
            <w:vAlign w:val="center"/>
          </w:tcPr>
          <w:p>
            <w:pPr>
              <w:jc w:val="left"/>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用户到愉哈哈线下店获取商品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输入</w:t>
            </w:r>
            <w:r>
              <w:rPr>
                <w:rFonts w:hint="eastAsia" w:ascii="微软雅黑" w:hAnsi="微软雅黑" w:eastAsia="微软雅黑" w:cs="微软雅黑"/>
                <w:b/>
                <w:bCs/>
                <w:vertAlign w:val="baseline"/>
                <w:lang w:val="en-US" w:eastAsia="zh-CN"/>
              </w:rPr>
              <w:t>/</w:t>
            </w:r>
            <w:r>
              <w:rPr>
                <w:rFonts w:hint="eastAsia" w:ascii="微软雅黑" w:hAnsi="微软雅黑" w:eastAsia="微软雅黑" w:cs="微软雅黑"/>
                <w:b/>
                <w:bCs/>
                <w:vertAlign w:val="baseline"/>
                <w:lang w:eastAsia="zh-CN"/>
              </w:rPr>
              <w:t>前置条件</w:t>
            </w:r>
          </w:p>
        </w:tc>
        <w:tc>
          <w:tcPr>
            <w:tcW w:w="6486" w:type="dxa"/>
            <w:vAlign w:val="center"/>
          </w:tcPr>
          <w:p>
            <w:pPr>
              <w:jc w:val="left"/>
              <w:rPr>
                <w:rFonts w:hint="eastAsia" w:ascii="微软雅黑" w:hAnsi="微软雅黑" w:eastAsia="微软雅黑" w:cs="微软雅黑"/>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需求描述</w:t>
            </w:r>
          </w:p>
        </w:tc>
        <w:tc>
          <w:tcPr>
            <w:tcW w:w="6486" w:type="dxa"/>
            <w:vAlign w:val="center"/>
          </w:tcPr>
          <w:p>
            <w:pPr>
              <w:numPr>
                <w:ilvl w:val="0"/>
                <w:numId w:val="8"/>
              </w:numPr>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整体描述：用户在农哈哈平台成功积分兑换商品，用户选择自提商品，则下单成功后，订单自动生成一个提货码；用户可根据农哈哈APP上显示的提货码到线下店提货，商家扫码确认后将商品交于用户，并在愉哈哈系统中确认，同时将订单状态反馈到农哈哈；</w:t>
            </w:r>
          </w:p>
          <w:p>
            <w:pPr>
              <w:numPr>
                <w:ilvl w:val="0"/>
                <w:numId w:val="8"/>
              </w:numPr>
              <w:jc w:val="left"/>
              <w:rPr>
                <w:rFonts w:hint="default" w:ascii="微软雅黑" w:hAnsi="微软雅黑" w:eastAsia="微软雅黑" w:cs="微软雅黑"/>
                <w:vertAlign w:val="baseline"/>
                <w:lang w:val="en-US" w:eastAsia="zh-CN"/>
              </w:rPr>
            </w:pPr>
            <w:r>
              <w:rPr>
                <w:rFonts w:hint="eastAsia"/>
                <w:sz w:val="24"/>
                <w:lang w:eastAsia="zh-CN"/>
              </w:rPr>
              <w:t>如出现用户退款退货、换货等流程按照</w:t>
            </w:r>
            <w:r>
              <w:rPr>
                <w:rFonts w:hint="eastAsia"/>
                <w:sz w:val="24"/>
                <w:lang w:val="en-US" w:eastAsia="zh-CN"/>
              </w:rPr>
              <w:t>2.4的线上流程操作</w:t>
            </w:r>
            <w:r>
              <w:rPr>
                <w:rFonts w:hint="eastAsia"/>
                <w:sz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063" w:type="dxa"/>
            <w:shd w:val="clear" w:color="auto" w:fill="D7D7D7" w:themeFill="background1" w:themeFillShade="D8"/>
            <w:vAlign w:val="center"/>
          </w:tcPr>
          <w:p>
            <w:pPr>
              <w:jc w:val="center"/>
              <w:rPr>
                <w:rFonts w:hint="eastAsia" w:ascii="微软雅黑" w:hAnsi="微软雅黑" w:eastAsia="微软雅黑" w:cs="微软雅黑"/>
                <w:b/>
                <w:bCs/>
                <w:vertAlign w:val="baseline"/>
                <w:lang w:eastAsia="zh-CN"/>
              </w:rPr>
            </w:pPr>
            <w:r>
              <w:rPr>
                <w:rFonts w:hint="eastAsia" w:ascii="微软雅黑" w:hAnsi="微软雅黑" w:eastAsia="微软雅黑" w:cs="微软雅黑"/>
                <w:b/>
                <w:bCs/>
                <w:vertAlign w:val="baseline"/>
                <w:lang w:eastAsia="zh-CN"/>
              </w:rPr>
              <w:t>补充说明</w:t>
            </w:r>
          </w:p>
        </w:tc>
        <w:tc>
          <w:tcPr>
            <w:tcW w:w="6486" w:type="dxa"/>
            <w:vAlign w:val="center"/>
          </w:tcPr>
          <w:p>
            <w:pPr>
              <w:numPr>
                <w:ilvl w:val="0"/>
                <w:numId w:val="0"/>
              </w:numPr>
              <w:jc w:val="left"/>
              <w:rPr>
                <w:rFonts w:hint="default" w:ascii="微软雅黑" w:hAnsi="微软雅黑" w:eastAsia="微软雅黑" w:cs="微软雅黑"/>
                <w:b w:val="0"/>
                <w:bCs w:val="0"/>
                <w:vertAlign w:val="baseline"/>
                <w:lang w:val="en-US" w:eastAsia="zh-CN"/>
              </w:rPr>
            </w:pPr>
          </w:p>
        </w:tc>
      </w:tr>
    </w:tbl>
    <w:p/>
    <w:p>
      <w:pPr>
        <w:spacing w:line="360" w:lineRule="auto"/>
      </w:pPr>
      <w:r>
        <w:object>
          <v:shape id="_x0000_i1029" o:spt="75" type="#_x0000_t75" style="height:492.75pt;width:414.75pt;" o:ole="t" filled="f" o:preferrelative="t" stroked="f" coordsize="21600,21600">
            <v:path/>
            <v:fill on="f" focussize="0,0"/>
            <v:stroke on="f" joinstyle="miter"/>
            <v:imagedata r:id="rId15" o:title=""/>
            <o:lock v:ext="edit" aspectratio="t"/>
            <w10:wrap type="none"/>
            <w10:anchorlock/>
          </v:shape>
          <o:OLEObject Type="Embed" ProgID="Visio.Drawing.15" ShapeID="_x0000_i1029" DrawAspect="Content" ObjectID="_1468075729" r:id="rId14">
            <o:LockedField>false</o:LockedField>
          </o:OLEObject>
        </w:object>
      </w:r>
    </w:p>
    <w:p>
      <w:pPr>
        <w:widowControl/>
        <w:jc w:val="left"/>
      </w:pPr>
      <w:r>
        <w:br w:type="page"/>
      </w:r>
    </w:p>
    <w:p>
      <w:pPr>
        <w:pStyle w:val="3"/>
        <w:numPr>
          <w:ilvl w:val="1"/>
          <w:numId w:val="1"/>
        </w:numPr>
      </w:pPr>
      <w:bookmarkStart w:id="12" w:name="_Toc42040206"/>
      <w:r>
        <w:rPr>
          <w:rFonts w:hint="eastAsia"/>
        </w:rPr>
        <w:t>两方积分结算</w:t>
      </w:r>
      <w:bookmarkEnd w:id="12"/>
    </w:p>
    <w:p>
      <w:pPr>
        <w:pStyle w:val="19"/>
        <w:numPr>
          <w:ilvl w:val="0"/>
          <w:numId w:val="9"/>
        </w:numPr>
        <w:spacing w:line="360" w:lineRule="auto"/>
        <w:ind w:firstLineChars="0"/>
        <w:rPr>
          <w:sz w:val="24"/>
        </w:rPr>
      </w:pPr>
      <w:r>
        <w:rPr>
          <w:rFonts w:hint="eastAsia"/>
          <w:sz w:val="24"/>
        </w:rPr>
        <w:t>愉哈哈使用积分</w:t>
      </w:r>
    </w:p>
    <w:p>
      <w:pPr>
        <w:spacing w:line="360" w:lineRule="auto"/>
        <w:ind w:left="480"/>
        <w:rPr>
          <w:sz w:val="24"/>
        </w:rPr>
      </w:pPr>
      <w:r>
        <w:rPr>
          <w:rFonts w:hint="eastAsia"/>
          <w:sz w:val="24"/>
        </w:rPr>
        <w:t>愉哈哈上使用的积分，根据农哈哈积分与人民币的兑换比例进行结算；</w:t>
      </w:r>
    </w:p>
    <w:p>
      <w:pPr>
        <w:spacing w:line="360" w:lineRule="auto"/>
        <w:ind w:firstLine="480" w:firstLineChars="200"/>
        <w:rPr>
          <w:sz w:val="24"/>
        </w:rPr>
      </w:pPr>
      <w:r>
        <w:rPr>
          <w:rFonts w:hint="eastAsia"/>
          <w:sz w:val="24"/>
        </w:rPr>
        <w:t>如：农哈哈积分与人民币比例为50：1，愉哈哈兑换使用了100积分，则农哈哈应结算给愉哈哈2￥人民币；</w:t>
      </w:r>
    </w:p>
    <w:p>
      <w:pPr>
        <w:pStyle w:val="19"/>
        <w:numPr>
          <w:ilvl w:val="0"/>
          <w:numId w:val="9"/>
        </w:numPr>
        <w:spacing w:line="360" w:lineRule="auto"/>
        <w:ind w:firstLineChars="0"/>
        <w:rPr>
          <w:sz w:val="24"/>
        </w:rPr>
      </w:pPr>
      <w:r>
        <w:rPr>
          <w:rFonts w:hint="eastAsia"/>
          <w:sz w:val="24"/>
        </w:rPr>
        <w:t>农哈哈兑换商品</w:t>
      </w:r>
    </w:p>
    <w:p>
      <w:pPr>
        <w:spacing w:line="360" w:lineRule="auto"/>
        <w:ind w:firstLine="480" w:firstLineChars="200"/>
        <w:rPr>
          <w:sz w:val="24"/>
        </w:rPr>
      </w:pPr>
      <w:r>
        <w:rPr>
          <w:rFonts w:hint="eastAsia"/>
          <w:sz w:val="24"/>
        </w:rPr>
        <w:t xml:space="preserve">农哈哈使用积分兑换愉哈哈商品，结算时按商品在愉哈哈上实际销售价进行结算； </w:t>
      </w:r>
    </w:p>
    <w:p>
      <w:pPr>
        <w:spacing w:line="360" w:lineRule="auto"/>
        <w:ind w:firstLine="480" w:firstLineChars="200"/>
        <w:rPr>
          <w:sz w:val="24"/>
        </w:rPr>
      </w:pPr>
      <w:r>
        <w:rPr>
          <w:rFonts w:hint="eastAsia"/>
          <w:sz w:val="24"/>
        </w:rPr>
        <w:t>如：农哈哈以100积分上架一个愉哈哈销售价200￥商品，会员兑换商品成功完成交易后。农哈哈需要结算给愉哈哈200￥人民币；</w:t>
      </w:r>
    </w:p>
    <w:p>
      <w:pPr>
        <w:spacing w:line="360" w:lineRule="auto"/>
        <w:ind w:firstLine="480"/>
        <w:rPr>
          <w:sz w:val="24"/>
        </w:rPr>
      </w:pPr>
      <w:r>
        <w:rPr>
          <w:sz w:val="24"/>
        </w:rPr>
        <w:br w:type="page"/>
      </w:r>
    </w:p>
    <w:p>
      <w:pPr>
        <w:pStyle w:val="2"/>
        <w:numPr>
          <w:ilvl w:val="0"/>
          <w:numId w:val="1"/>
        </w:numPr>
      </w:pPr>
      <w:bookmarkStart w:id="13" w:name="_Toc42040209"/>
      <w:r>
        <w:rPr>
          <w:rFonts w:hint="eastAsia"/>
        </w:rPr>
        <w:t>开发计划</w:t>
      </w:r>
      <w:bookmarkEnd w:id="13"/>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jc w:val="center"/>
              <w:rPr>
                <w:rFonts w:ascii="Calibri" w:hAnsi="Calibri" w:eastAsia="宋体" w:cs="Calibri"/>
                <w:b/>
                <w:kern w:val="0"/>
                <w:sz w:val="28"/>
                <w:szCs w:val="20"/>
              </w:rPr>
            </w:pPr>
            <w:r>
              <w:rPr>
                <w:rFonts w:ascii="Calibri" w:hAnsi="Calibri" w:eastAsia="宋体" w:cs="Calibri"/>
                <w:b/>
                <w:kern w:val="0"/>
                <w:sz w:val="28"/>
                <w:szCs w:val="20"/>
              </w:rPr>
              <w:t>开发系统</w:t>
            </w:r>
          </w:p>
        </w:tc>
        <w:tc>
          <w:tcPr>
            <w:tcW w:w="2841" w:type="dxa"/>
          </w:tcPr>
          <w:p>
            <w:pPr>
              <w:jc w:val="center"/>
              <w:rPr>
                <w:rFonts w:ascii="Calibri" w:hAnsi="Calibri" w:eastAsia="宋体" w:cs="Calibri"/>
                <w:b/>
                <w:kern w:val="0"/>
                <w:sz w:val="28"/>
                <w:szCs w:val="20"/>
              </w:rPr>
            </w:pPr>
            <w:r>
              <w:rPr>
                <w:rFonts w:ascii="Calibri" w:hAnsi="Calibri" w:eastAsia="宋体" w:cs="Calibri"/>
                <w:b/>
                <w:kern w:val="0"/>
                <w:sz w:val="28"/>
                <w:szCs w:val="20"/>
              </w:rPr>
              <w:t>开发预算</w:t>
            </w:r>
          </w:p>
        </w:tc>
        <w:tc>
          <w:tcPr>
            <w:tcW w:w="2841" w:type="dxa"/>
          </w:tcPr>
          <w:p>
            <w:pPr>
              <w:jc w:val="center"/>
              <w:rPr>
                <w:rFonts w:ascii="Calibri" w:hAnsi="Calibri" w:eastAsia="宋体" w:cs="Calibri"/>
                <w:b/>
                <w:kern w:val="0"/>
                <w:sz w:val="28"/>
                <w:szCs w:val="20"/>
              </w:rPr>
            </w:pPr>
            <w:r>
              <w:rPr>
                <w:rFonts w:ascii="Calibri" w:hAnsi="Calibri" w:eastAsia="宋体" w:cs="Calibri"/>
                <w:b/>
                <w:kern w:val="0"/>
                <w:sz w:val="28"/>
                <w:szCs w:val="20"/>
              </w:rPr>
              <w:t>建设周期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rPr>
                <w:rFonts w:ascii="Calibri" w:hAnsi="Calibri" w:eastAsia="宋体" w:cs="Calibri"/>
                <w:kern w:val="0"/>
                <w:sz w:val="28"/>
                <w:szCs w:val="20"/>
              </w:rPr>
            </w:pPr>
            <w:r>
              <w:rPr>
                <w:rFonts w:ascii="Calibri" w:hAnsi="Calibri" w:eastAsia="宋体" w:cs="Calibri"/>
                <w:kern w:val="0"/>
                <w:sz w:val="28"/>
                <w:szCs w:val="20"/>
              </w:rPr>
              <w:t>农哈哈二期建设</w:t>
            </w:r>
          </w:p>
        </w:tc>
        <w:tc>
          <w:tcPr>
            <w:tcW w:w="2841" w:type="dxa"/>
          </w:tcPr>
          <w:p>
            <w:pPr>
              <w:rPr>
                <w:rFonts w:ascii="Calibri" w:hAnsi="Calibri" w:eastAsia="宋体" w:cs="Calibri"/>
                <w:kern w:val="0"/>
                <w:sz w:val="28"/>
                <w:szCs w:val="20"/>
              </w:rPr>
            </w:pPr>
          </w:p>
        </w:tc>
        <w:tc>
          <w:tcPr>
            <w:tcW w:w="2841" w:type="dxa"/>
          </w:tcPr>
          <w:p>
            <w:pPr>
              <w:rPr>
                <w:rFonts w:ascii="Calibri" w:hAnsi="Calibri" w:eastAsia="宋体" w:cs="Calibri"/>
                <w:kern w:val="0"/>
                <w:sz w:val="28"/>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rPr>
                <w:rFonts w:ascii="Calibri" w:hAnsi="Calibri" w:eastAsia="宋体" w:cs="Calibri"/>
                <w:kern w:val="0"/>
                <w:sz w:val="28"/>
                <w:szCs w:val="20"/>
              </w:rPr>
            </w:pPr>
            <w:r>
              <w:rPr>
                <w:rFonts w:ascii="Calibri" w:hAnsi="Calibri" w:eastAsia="宋体" w:cs="Calibri"/>
                <w:kern w:val="0"/>
                <w:sz w:val="28"/>
                <w:szCs w:val="20"/>
              </w:rPr>
              <w:t>愉哈哈接口改造</w:t>
            </w:r>
          </w:p>
        </w:tc>
        <w:tc>
          <w:tcPr>
            <w:tcW w:w="2841" w:type="dxa"/>
          </w:tcPr>
          <w:p>
            <w:pPr>
              <w:rPr>
                <w:rFonts w:ascii="Calibri" w:hAnsi="Calibri" w:eastAsia="宋体" w:cs="Calibri"/>
                <w:kern w:val="0"/>
                <w:sz w:val="28"/>
                <w:szCs w:val="20"/>
              </w:rPr>
            </w:pPr>
          </w:p>
        </w:tc>
        <w:tc>
          <w:tcPr>
            <w:tcW w:w="2841" w:type="dxa"/>
          </w:tcPr>
          <w:p>
            <w:pPr>
              <w:rPr>
                <w:rFonts w:ascii="Calibri" w:hAnsi="Calibri" w:eastAsia="宋体" w:cs="Calibri"/>
                <w:kern w:val="0"/>
                <w:sz w:val="28"/>
                <w:szCs w:val="20"/>
              </w:rPr>
            </w:pPr>
          </w:p>
        </w:tc>
      </w:tr>
    </w:tbl>
    <w:p/>
    <w:sectPr>
      <w:headerReference r:id="rId3" w:type="default"/>
      <w:footerReference r:id="rId4"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asciiTheme="minorEastAsia" w:hAnsiTheme="minorEastAsia"/>
      </w:rPr>
    </w:pPr>
    <w:r>
      <w:rPr>
        <w:rFonts w:asciiTheme="minorEastAsia" w:hAnsiTheme="minorEastAsia"/>
      </w:rPr>
      <w:t>第</w:t>
    </w:r>
    <w:sdt>
      <w:sdtPr>
        <w:rPr>
          <w:rFonts w:asciiTheme="minorEastAsia" w:hAnsiTheme="minorEastAsia"/>
        </w:rPr>
        <w:id w:val="46424882"/>
        <w:docPartObj>
          <w:docPartGallery w:val="autotext"/>
        </w:docPartObj>
      </w:sdtPr>
      <w:sdtEndPr>
        <w:rPr>
          <w:rFonts w:asciiTheme="minorEastAsia" w:hAnsiTheme="minorEastAsia"/>
        </w:rPr>
      </w:sdtEndPr>
      <w:sdtContent>
        <w:sdt>
          <w:sdtPr>
            <w:rPr>
              <w:rFonts w:asciiTheme="minorEastAsia" w:hAnsiTheme="minorEastAsia"/>
            </w:rPr>
            <w:id w:val="98381352"/>
            <w:docPartObj>
              <w:docPartGallery w:val="autotext"/>
            </w:docPartObj>
          </w:sdtPr>
          <w:sdtEndPr>
            <w:rPr>
              <w:rFonts w:asciiTheme="minorEastAsia" w:hAnsiTheme="minorEastAsia"/>
            </w:rPr>
          </w:sdtEndPr>
          <w:sdtContent>
            <w:r>
              <w:rPr>
                <w:rFonts w:asciiTheme="minorEastAsia" w:hAnsiTheme="minorEastAsia"/>
                <w:bCs/>
              </w:rPr>
              <w:fldChar w:fldCharType="begin"/>
            </w:r>
            <w:r>
              <w:rPr>
                <w:rFonts w:asciiTheme="minorEastAsia" w:hAnsiTheme="minorEastAsia"/>
                <w:bCs/>
              </w:rPr>
              <w:instrText xml:space="preserve">PAGE</w:instrText>
            </w:r>
            <w:r>
              <w:rPr>
                <w:rFonts w:asciiTheme="minorEastAsia" w:hAnsiTheme="minorEastAsia"/>
                <w:bCs/>
              </w:rPr>
              <w:fldChar w:fldCharType="separate"/>
            </w:r>
            <w:r>
              <w:rPr>
                <w:rFonts w:asciiTheme="minorEastAsia" w:hAnsiTheme="minorEastAsia"/>
                <w:bCs/>
              </w:rPr>
              <w:t>6</w:t>
            </w:r>
            <w:r>
              <w:rPr>
                <w:rFonts w:asciiTheme="minorEastAsia" w:hAnsiTheme="minorEastAsia"/>
                <w:bCs/>
              </w:rPr>
              <w:fldChar w:fldCharType="end"/>
            </w:r>
            <w:r>
              <w:rPr>
                <w:rFonts w:asciiTheme="minorEastAsia" w:hAnsiTheme="minorEastAsia"/>
                <w:bCs/>
              </w:rPr>
              <w:t>页</w:t>
            </w:r>
            <w:r>
              <w:rPr>
                <w:rFonts w:hint="eastAsia" w:asciiTheme="minorEastAsia" w:hAnsiTheme="minorEastAsia"/>
                <w:bCs/>
              </w:rPr>
              <w:t xml:space="preserve"> </w:t>
            </w:r>
            <w:r>
              <w:rPr>
                <w:rFonts w:asciiTheme="minorEastAsia" w:hAnsiTheme="minorEastAsia"/>
                <w:bCs/>
              </w:rPr>
              <w:t>共</w:t>
            </w:r>
            <w:r>
              <w:rPr>
                <w:rFonts w:asciiTheme="minorEastAsia" w:hAnsiTheme="minorEastAsia"/>
                <w:bCs/>
              </w:rPr>
              <w:fldChar w:fldCharType="begin"/>
            </w:r>
            <w:r>
              <w:rPr>
                <w:rFonts w:asciiTheme="minorEastAsia" w:hAnsiTheme="minorEastAsia"/>
                <w:bCs/>
              </w:rPr>
              <w:instrText xml:space="preserve">NUMPAGES</w:instrText>
            </w:r>
            <w:r>
              <w:rPr>
                <w:rFonts w:asciiTheme="minorEastAsia" w:hAnsiTheme="minorEastAsia"/>
                <w:bCs/>
              </w:rPr>
              <w:fldChar w:fldCharType="separate"/>
            </w:r>
            <w:r>
              <w:rPr>
                <w:rFonts w:asciiTheme="minorEastAsia" w:hAnsiTheme="minorEastAsia"/>
                <w:bCs/>
              </w:rPr>
              <w:t>14</w:t>
            </w:r>
            <w:r>
              <w:rPr>
                <w:rFonts w:asciiTheme="minorEastAsia" w:hAnsiTheme="minorEastAsia"/>
                <w:bCs/>
              </w:rPr>
              <w:fldChar w:fldCharType="end"/>
            </w:r>
            <w:r>
              <w:rPr>
                <w:rFonts w:asciiTheme="minorEastAsia" w:hAnsiTheme="minorEastAsia"/>
                <w:bCs/>
              </w:rPr>
              <w:t>页</w:t>
            </w:r>
          </w:sdtContent>
        </w:sdt>
      </w:sdtContent>
    </w:sdt>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right"/>
    </w:pPr>
    <w:r>
      <w:t>《农哈哈二期概要设计》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435AC3D"/>
    <w:multiLevelType w:val="singleLevel"/>
    <w:tmpl w:val="C435AC3D"/>
    <w:lvl w:ilvl="0" w:tentative="0">
      <w:start w:val="1"/>
      <w:numFmt w:val="decimal"/>
      <w:lvlText w:val="%1."/>
      <w:lvlJc w:val="left"/>
      <w:pPr>
        <w:tabs>
          <w:tab w:val="left" w:pos="312"/>
        </w:tabs>
      </w:pPr>
    </w:lvl>
  </w:abstractNum>
  <w:abstractNum w:abstractNumId="1">
    <w:nsid w:val="D4B563DC"/>
    <w:multiLevelType w:val="singleLevel"/>
    <w:tmpl w:val="D4B563DC"/>
    <w:lvl w:ilvl="0" w:tentative="0">
      <w:start w:val="1"/>
      <w:numFmt w:val="decimal"/>
      <w:lvlText w:val="%1."/>
      <w:lvlJc w:val="left"/>
      <w:pPr>
        <w:tabs>
          <w:tab w:val="left" w:pos="312"/>
        </w:tabs>
      </w:pPr>
    </w:lvl>
  </w:abstractNum>
  <w:abstractNum w:abstractNumId="2">
    <w:nsid w:val="DC9AEEA2"/>
    <w:multiLevelType w:val="singleLevel"/>
    <w:tmpl w:val="DC9AEEA2"/>
    <w:lvl w:ilvl="0" w:tentative="0">
      <w:start w:val="1"/>
      <w:numFmt w:val="decimal"/>
      <w:lvlText w:val="%1."/>
      <w:lvlJc w:val="left"/>
      <w:pPr>
        <w:tabs>
          <w:tab w:val="left" w:pos="312"/>
        </w:tabs>
      </w:pPr>
    </w:lvl>
  </w:abstractNum>
  <w:abstractNum w:abstractNumId="3">
    <w:nsid w:val="DE4FB1F4"/>
    <w:multiLevelType w:val="singleLevel"/>
    <w:tmpl w:val="DE4FB1F4"/>
    <w:lvl w:ilvl="0" w:tentative="0">
      <w:start w:val="1"/>
      <w:numFmt w:val="decimal"/>
      <w:lvlText w:val="%1."/>
      <w:lvlJc w:val="left"/>
      <w:pPr>
        <w:tabs>
          <w:tab w:val="left" w:pos="312"/>
        </w:tabs>
      </w:pPr>
    </w:lvl>
  </w:abstractNum>
  <w:abstractNum w:abstractNumId="4">
    <w:nsid w:val="1BFE5873"/>
    <w:multiLevelType w:val="singleLevel"/>
    <w:tmpl w:val="1BFE5873"/>
    <w:lvl w:ilvl="0" w:tentative="0">
      <w:start w:val="1"/>
      <w:numFmt w:val="decimal"/>
      <w:lvlText w:val="%1."/>
      <w:lvlJc w:val="left"/>
      <w:pPr>
        <w:tabs>
          <w:tab w:val="left" w:pos="312"/>
        </w:tabs>
      </w:pPr>
    </w:lvl>
  </w:abstractNum>
  <w:abstractNum w:abstractNumId="5">
    <w:nsid w:val="246205BD"/>
    <w:multiLevelType w:val="multilevel"/>
    <w:tmpl w:val="246205BD"/>
    <w:lvl w:ilvl="0" w:tentative="0">
      <w:start w:val="1"/>
      <w:numFmt w:val="decimal"/>
      <w:lvlText w:val="%1"/>
      <w:lvlJc w:val="left"/>
      <w:pPr>
        <w:ind w:left="425" w:hanging="425"/>
      </w:pPr>
      <w:rPr>
        <w:rFonts w:hint="default"/>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6">
    <w:nsid w:val="42EE5703"/>
    <w:multiLevelType w:val="multilevel"/>
    <w:tmpl w:val="42EE5703"/>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
    <w:nsid w:val="6FAA1ED6"/>
    <w:multiLevelType w:val="multilevel"/>
    <w:tmpl w:val="6FAA1ED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7D23A32E"/>
    <w:multiLevelType w:val="singleLevel"/>
    <w:tmpl w:val="7D23A32E"/>
    <w:lvl w:ilvl="0" w:tentative="0">
      <w:start w:val="1"/>
      <w:numFmt w:val="decimal"/>
      <w:lvlText w:val="%1."/>
      <w:lvlJc w:val="left"/>
      <w:pPr>
        <w:tabs>
          <w:tab w:val="left" w:pos="312"/>
        </w:tabs>
      </w:pPr>
    </w:lvl>
  </w:abstractNum>
  <w:num w:numId="1">
    <w:abstractNumId w:val="5"/>
  </w:num>
  <w:num w:numId="2">
    <w:abstractNumId w:val="7"/>
  </w:num>
  <w:num w:numId="3">
    <w:abstractNumId w:val="2"/>
  </w:num>
  <w:num w:numId="4">
    <w:abstractNumId w:val="0"/>
  </w:num>
  <w:num w:numId="5">
    <w:abstractNumId w:val="3"/>
  </w:num>
  <w:num w:numId="6">
    <w:abstractNumId w:val="4"/>
  </w:num>
  <w:num w:numId="7">
    <w:abstractNumId w:val="8"/>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10C"/>
    <w:rsid w:val="00012682"/>
    <w:rsid w:val="00040AEF"/>
    <w:rsid w:val="00042143"/>
    <w:rsid w:val="0004552E"/>
    <w:rsid w:val="00051148"/>
    <w:rsid w:val="00064C04"/>
    <w:rsid w:val="000704A8"/>
    <w:rsid w:val="00071F01"/>
    <w:rsid w:val="00076C4C"/>
    <w:rsid w:val="00082468"/>
    <w:rsid w:val="00083D5C"/>
    <w:rsid w:val="000853FE"/>
    <w:rsid w:val="00085863"/>
    <w:rsid w:val="00091BB3"/>
    <w:rsid w:val="00094999"/>
    <w:rsid w:val="000D1099"/>
    <w:rsid w:val="000D5869"/>
    <w:rsid w:val="000E5CA7"/>
    <w:rsid w:val="0010037F"/>
    <w:rsid w:val="00101879"/>
    <w:rsid w:val="001050CD"/>
    <w:rsid w:val="00125C85"/>
    <w:rsid w:val="00143196"/>
    <w:rsid w:val="00161B06"/>
    <w:rsid w:val="00161F8E"/>
    <w:rsid w:val="00163D82"/>
    <w:rsid w:val="00164F8F"/>
    <w:rsid w:val="00174830"/>
    <w:rsid w:val="00182DD5"/>
    <w:rsid w:val="0019007E"/>
    <w:rsid w:val="001908B9"/>
    <w:rsid w:val="001A5431"/>
    <w:rsid w:val="001B281D"/>
    <w:rsid w:val="001B32F1"/>
    <w:rsid w:val="001C3004"/>
    <w:rsid w:val="001C5004"/>
    <w:rsid w:val="001E2CAB"/>
    <w:rsid w:val="001F38E9"/>
    <w:rsid w:val="001F4C42"/>
    <w:rsid w:val="0020098C"/>
    <w:rsid w:val="00201718"/>
    <w:rsid w:val="00210AE1"/>
    <w:rsid w:val="00216132"/>
    <w:rsid w:val="00217816"/>
    <w:rsid w:val="00232F29"/>
    <w:rsid w:val="00243430"/>
    <w:rsid w:val="0024678F"/>
    <w:rsid w:val="0025387A"/>
    <w:rsid w:val="00256BD2"/>
    <w:rsid w:val="002605B9"/>
    <w:rsid w:val="00262078"/>
    <w:rsid w:val="00276B09"/>
    <w:rsid w:val="00287509"/>
    <w:rsid w:val="00290838"/>
    <w:rsid w:val="002B7493"/>
    <w:rsid w:val="002D531C"/>
    <w:rsid w:val="002E3CD5"/>
    <w:rsid w:val="002F2F3C"/>
    <w:rsid w:val="002F649E"/>
    <w:rsid w:val="0031344C"/>
    <w:rsid w:val="00313A23"/>
    <w:rsid w:val="00317311"/>
    <w:rsid w:val="003252A3"/>
    <w:rsid w:val="0036019A"/>
    <w:rsid w:val="00361B6D"/>
    <w:rsid w:val="00375DED"/>
    <w:rsid w:val="003A1021"/>
    <w:rsid w:val="003A4F3C"/>
    <w:rsid w:val="003A58EB"/>
    <w:rsid w:val="003A6A04"/>
    <w:rsid w:val="003C3479"/>
    <w:rsid w:val="003C4FD1"/>
    <w:rsid w:val="003D1540"/>
    <w:rsid w:val="003D2EAF"/>
    <w:rsid w:val="003D3A09"/>
    <w:rsid w:val="00404767"/>
    <w:rsid w:val="00433168"/>
    <w:rsid w:val="004347D3"/>
    <w:rsid w:val="00436668"/>
    <w:rsid w:val="00437E08"/>
    <w:rsid w:val="00441F5B"/>
    <w:rsid w:val="0045377E"/>
    <w:rsid w:val="00464FAA"/>
    <w:rsid w:val="00471D51"/>
    <w:rsid w:val="004773A9"/>
    <w:rsid w:val="00491ABA"/>
    <w:rsid w:val="004A343E"/>
    <w:rsid w:val="004A566D"/>
    <w:rsid w:val="004A5E96"/>
    <w:rsid w:val="004B0F4F"/>
    <w:rsid w:val="004C291C"/>
    <w:rsid w:val="004E0558"/>
    <w:rsid w:val="004E431E"/>
    <w:rsid w:val="004E6387"/>
    <w:rsid w:val="004E74EF"/>
    <w:rsid w:val="005037FE"/>
    <w:rsid w:val="00503DE0"/>
    <w:rsid w:val="00504383"/>
    <w:rsid w:val="00511F53"/>
    <w:rsid w:val="00512C3F"/>
    <w:rsid w:val="005343A8"/>
    <w:rsid w:val="005447CF"/>
    <w:rsid w:val="00556E36"/>
    <w:rsid w:val="00564AF1"/>
    <w:rsid w:val="00571749"/>
    <w:rsid w:val="00573383"/>
    <w:rsid w:val="005749F3"/>
    <w:rsid w:val="00576AB6"/>
    <w:rsid w:val="0058117D"/>
    <w:rsid w:val="0058625F"/>
    <w:rsid w:val="00592EB1"/>
    <w:rsid w:val="005A0841"/>
    <w:rsid w:val="005B21AF"/>
    <w:rsid w:val="005C29CA"/>
    <w:rsid w:val="005E253D"/>
    <w:rsid w:val="005E2EFD"/>
    <w:rsid w:val="005F0397"/>
    <w:rsid w:val="00602620"/>
    <w:rsid w:val="0064695B"/>
    <w:rsid w:val="00653E37"/>
    <w:rsid w:val="00662AAB"/>
    <w:rsid w:val="006724FB"/>
    <w:rsid w:val="006825B8"/>
    <w:rsid w:val="0068512B"/>
    <w:rsid w:val="006A58AA"/>
    <w:rsid w:val="006B7369"/>
    <w:rsid w:val="006C4B5E"/>
    <w:rsid w:val="006D5511"/>
    <w:rsid w:val="006D61CF"/>
    <w:rsid w:val="006E2EB6"/>
    <w:rsid w:val="006E3731"/>
    <w:rsid w:val="006E67A2"/>
    <w:rsid w:val="006F0C70"/>
    <w:rsid w:val="00703573"/>
    <w:rsid w:val="007118AF"/>
    <w:rsid w:val="00715F3E"/>
    <w:rsid w:val="00721359"/>
    <w:rsid w:val="00723D77"/>
    <w:rsid w:val="00727E32"/>
    <w:rsid w:val="00741478"/>
    <w:rsid w:val="00747412"/>
    <w:rsid w:val="0075212D"/>
    <w:rsid w:val="0076427D"/>
    <w:rsid w:val="007829E0"/>
    <w:rsid w:val="007A350B"/>
    <w:rsid w:val="007A7781"/>
    <w:rsid w:val="007D3444"/>
    <w:rsid w:val="007E629B"/>
    <w:rsid w:val="00807B56"/>
    <w:rsid w:val="00817957"/>
    <w:rsid w:val="008360B9"/>
    <w:rsid w:val="00837FD5"/>
    <w:rsid w:val="008662A8"/>
    <w:rsid w:val="00876380"/>
    <w:rsid w:val="0087684C"/>
    <w:rsid w:val="00892A2B"/>
    <w:rsid w:val="008A2748"/>
    <w:rsid w:val="008B2FED"/>
    <w:rsid w:val="008C261A"/>
    <w:rsid w:val="008D38AF"/>
    <w:rsid w:val="008F4C08"/>
    <w:rsid w:val="008F534F"/>
    <w:rsid w:val="00916143"/>
    <w:rsid w:val="009217CB"/>
    <w:rsid w:val="00921AB6"/>
    <w:rsid w:val="00922045"/>
    <w:rsid w:val="00930DCA"/>
    <w:rsid w:val="009342D0"/>
    <w:rsid w:val="00937FBF"/>
    <w:rsid w:val="009470C0"/>
    <w:rsid w:val="00953461"/>
    <w:rsid w:val="00955C46"/>
    <w:rsid w:val="00975A55"/>
    <w:rsid w:val="009914E8"/>
    <w:rsid w:val="009A29DE"/>
    <w:rsid w:val="009B2587"/>
    <w:rsid w:val="009B7945"/>
    <w:rsid w:val="009D3E85"/>
    <w:rsid w:val="00A132D6"/>
    <w:rsid w:val="00A2473C"/>
    <w:rsid w:val="00A52C03"/>
    <w:rsid w:val="00A6610C"/>
    <w:rsid w:val="00A85D37"/>
    <w:rsid w:val="00A9757A"/>
    <w:rsid w:val="00AB2B67"/>
    <w:rsid w:val="00AB463F"/>
    <w:rsid w:val="00AB53DD"/>
    <w:rsid w:val="00AB6CA1"/>
    <w:rsid w:val="00AC684F"/>
    <w:rsid w:val="00AD6493"/>
    <w:rsid w:val="00B009FA"/>
    <w:rsid w:val="00B00FF7"/>
    <w:rsid w:val="00B118CE"/>
    <w:rsid w:val="00B133F0"/>
    <w:rsid w:val="00B156CF"/>
    <w:rsid w:val="00B159BF"/>
    <w:rsid w:val="00B30FB3"/>
    <w:rsid w:val="00B42C0C"/>
    <w:rsid w:val="00B51975"/>
    <w:rsid w:val="00B64BB4"/>
    <w:rsid w:val="00B91852"/>
    <w:rsid w:val="00B96F34"/>
    <w:rsid w:val="00BA1C0D"/>
    <w:rsid w:val="00BA5208"/>
    <w:rsid w:val="00BB0E86"/>
    <w:rsid w:val="00BB123F"/>
    <w:rsid w:val="00C05F03"/>
    <w:rsid w:val="00C079A2"/>
    <w:rsid w:val="00C10927"/>
    <w:rsid w:val="00C10B62"/>
    <w:rsid w:val="00C1232B"/>
    <w:rsid w:val="00C239DF"/>
    <w:rsid w:val="00C379C4"/>
    <w:rsid w:val="00C43282"/>
    <w:rsid w:val="00C442B6"/>
    <w:rsid w:val="00C92627"/>
    <w:rsid w:val="00CC1EA1"/>
    <w:rsid w:val="00CD4AF8"/>
    <w:rsid w:val="00CD4E0C"/>
    <w:rsid w:val="00CE08D1"/>
    <w:rsid w:val="00CF45B1"/>
    <w:rsid w:val="00CF7F23"/>
    <w:rsid w:val="00D00135"/>
    <w:rsid w:val="00D01A63"/>
    <w:rsid w:val="00D245CB"/>
    <w:rsid w:val="00D2715F"/>
    <w:rsid w:val="00D33581"/>
    <w:rsid w:val="00D401EB"/>
    <w:rsid w:val="00D40916"/>
    <w:rsid w:val="00D53FD5"/>
    <w:rsid w:val="00D544CB"/>
    <w:rsid w:val="00D628B7"/>
    <w:rsid w:val="00D744F9"/>
    <w:rsid w:val="00D7733F"/>
    <w:rsid w:val="00DA6F93"/>
    <w:rsid w:val="00DC2620"/>
    <w:rsid w:val="00DC389F"/>
    <w:rsid w:val="00DC6CED"/>
    <w:rsid w:val="00DD0C56"/>
    <w:rsid w:val="00DD2AA3"/>
    <w:rsid w:val="00DE38FA"/>
    <w:rsid w:val="00E0332B"/>
    <w:rsid w:val="00E13789"/>
    <w:rsid w:val="00E21D3A"/>
    <w:rsid w:val="00E278B6"/>
    <w:rsid w:val="00E3614A"/>
    <w:rsid w:val="00E37753"/>
    <w:rsid w:val="00E522AA"/>
    <w:rsid w:val="00E67005"/>
    <w:rsid w:val="00E7499C"/>
    <w:rsid w:val="00E77645"/>
    <w:rsid w:val="00E81DEA"/>
    <w:rsid w:val="00EA10CF"/>
    <w:rsid w:val="00EA36D8"/>
    <w:rsid w:val="00EC680D"/>
    <w:rsid w:val="00ED60DE"/>
    <w:rsid w:val="00EF238E"/>
    <w:rsid w:val="00F3193A"/>
    <w:rsid w:val="00F34352"/>
    <w:rsid w:val="00F3479C"/>
    <w:rsid w:val="00F35687"/>
    <w:rsid w:val="00F356E1"/>
    <w:rsid w:val="00F374E2"/>
    <w:rsid w:val="00F708A2"/>
    <w:rsid w:val="00F814F9"/>
    <w:rsid w:val="00F87973"/>
    <w:rsid w:val="00F9463B"/>
    <w:rsid w:val="00FA2DF2"/>
    <w:rsid w:val="00FB538A"/>
    <w:rsid w:val="00FC002B"/>
    <w:rsid w:val="00FD5D47"/>
    <w:rsid w:val="00FE2121"/>
    <w:rsid w:val="00FF289B"/>
    <w:rsid w:val="01C2055F"/>
    <w:rsid w:val="0402731C"/>
    <w:rsid w:val="06F022D8"/>
    <w:rsid w:val="07907F88"/>
    <w:rsid w:val="08652D50"/>
    <w:rsid w:val="09946666"/>
    <w:rsid w:val="0B880931"/>
    <w:rsid w:val="0BBC50FD"/>
    <w:rsid w:val="0C257C02"/>
    <w:rsid w:val="0C783E5A"/>
    <w:rsid w:val="0CE87741"/>
    <w:rsid w:val="0DFA4C0D"/>
    <w:rsid w:val="0EC377E6"/>
    <w:rsid w:val="0FCC415D"/>
    <w:rsid w:val="12E1031F"/>
    <w:rsid w:val="135F4C4B"/>
    <w:rsid w:val="136672FD"/>
    <w:rsid w:val="18A846E3"/>
    <w:rsid w:val="1A5211B7"/>
    <w:rsid w:val="1AEA35EC"/>
    <w:rsid w:val="1CD252BD"/>
    <w:rsid w:val="1D4F45B4"/>
    <w:rsid w:val="23D7164A"/>
    <w:rsid w:val="292F465F"/>
    <w:rsid w:val="2C620875"/>
    <w:rsid w:val="2F8262FE"/>
    <w:rsid w:val="32E12E9A"/>
    <w:rsid w:val="34743293"/>
    <w:rsid w:val="355E46E0"/>
    <w:rsid w:val="37F26465"/>
    <w:rsid w:val="397E7966"/>
    <w:rsid w:val="3E9E72DF"/>
    <w:rsid w:val="401D7E47"/>
    <w:rsid w:val="40C73929"/>
    <w:rsid w:val="432B76EE"/>
    <w:rsid w:val="43505418"/>
    <w:rsid w:val="4363397E"/>
    <w:rsid w:val="455525B7"/>
    <w:rsid w:val="45572999"/>
    <w:rsid w:val="47526EC4"/>
    <w:rsid w:val="4A76302C"/>
    <w:rsid w:val="4B447DE1"/>
    <w:rsid w:val="4E2B20E1"/>
    <w:rsid w:val="4F401341"/>
    <w:rsid w:val="50011B09"/>
    <w:rsid w:val="52D53A63"/>
    <w:rsid w:val="573F30BD"/>
    <w:rsid w:val="5C1106EC"/>
    <w:rsid w:val="61CF2EA6"/>
    <w:rsid w:val="625402F1"/>
    <w:rsid w:val="645C4176"/>
    <w:rsid w:val="65F90858"/>
    <w:rsid w:val="6CB62D66"/>
    <w:rsid w:val="6D953B6C"/>
    <w:rsid w:val="6F6F4E78"/>
    <w:rsid w:val="6FA637B1"/>
    <w:rsid w:val="6FEA5407"/>
    <w:rsid w:val="700152B5"/>
    <w:rsid w:val="72157163"/>
    <w:rsid w:val="74673168"/>
    <w:rsid w:val="765E19D7"/>
    <w:rsid w:val="7B12595F"/>
    <w:rsid w:val="7B5C5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1"/>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toc 2"/>
    <w:basedOn w:val="1"/>
    <w:next w:val="1"/>
    <w:unhideWhenUsed/>
    <w:qFormat/>
    <w:uiPriority w:val="39"/>
    <w:pPr>
      <w:tabs>
        <w:tab w:val="left" w:pos="1050"/>
        <w:tab w:val="right" w:leader="dot" w:pos="8296"/>
      </w:tabs>
      <w:spacing w:line="360" w:lineRule="auto"/>
      <w:ind w:left="420" w:leftChars="200"/>
    </w:pPr>
  </w:style>
  <w:style w:type="table" w:styleId="11">
    <w:name w:val="Table Grid"/>
    <w:basedOn w:val="10"/>
    <w:qFormat/>
    <w:uiPriority w:val="99"/>
    <w:rPr>
      <w:rFonts w:ascii="Calibri" w:hAnsi="Calibri" w:eastAsia="宋体" w:cs="Calibri"/>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Hyperlink"/>
    <w:basedOn w:val="12"/>
    <w:unhideWhenUsed/>
    <w:qFormat/>
    <w:uiPriority w:val="99"/>
    <w:rPr>
      <w:color w:val="0000FF" w:themeColor="hyperlink"/>
      <w:u w:val="single"/>
      <w14:textFill>
        <w14:solidFill>
          <w14:schemeClr w14:val="hlink"/>
        </w14:solidFill>
      </w14:textFill>
    </w:rPr>
  </w:style>
  <w:style w:type="character" w:customStyle="1" w:styleId="14">
    <w:name w:val="页眉 Char"/>
    <w:basedOn w:val="12"/>
    <w:link w:val="7"/>
    <w:qFormat/>
    <w:uiPriority w:val="99"/>
    <w:rPr>
      <w:sz w:val="18"/>
      <w:szCs w:val="18"/>
    </w:rPr>
  </w:style>
  <w:style w:type="character" w:customStyle="1" w:styleId="15">
    <w:name w:val="页脚 Char"/>
    <w:basedOn w:val="12"/>
    <w:link w:val="6"/>
    <w:qFormat/>
    <w:uiPriority w:val="99"/>
    <w:rPr>
      <w:sz w:val="18"/>
      <w:szCs w:val="18"/>
    </w:rPr>
  </w:style>
  <w:style w:type="character" w:customStyle="1" w:styleId="16">
    <w:name w:val="标题 1 Char"/>
    <w:basedOn w:val="12"/>
    <w:link w:val="2"/>
    <w:qFormat/>
    <w:uiPriority w:val="9"/>
    <w:rPr>
      <w:b/>
      <w:bCs/>
      <w:kern w:val="44"/>
      <w:sz w:val="44"/>
      <w:szCs w:val="44"/>
    </w:rPr>
  </w:style>
  <w:style w:type="character" w:customStyle="1" w:styleId="17">
    <w:name w:val="标题 2 Char"/>
    <w:basedOn w:val="12"/>
    <w:link w:val="3"/>
    <w:uiPriority w:val="9"/>
    <w:rPr>
      <w:rFonts w:asciiTheme="majorHAnsi" w:hAnsiTheme="majorHAnsi" w:eastAsiaTheme="majorEastAsia" w:cstheme="majorBidi"/>
      <w:b/>
      <w:bCs/>
      <w:sz w:val="32"/>
      <w:szCs w:val="32"/>
    </w:rPr>
  </w:style>
  <w:style w:type="character" w:customStyle="1" w:styleId="18">
    <w:name w:val="标题 3 Char"/>
    <w:basedOn w:val="12"/>
    <w:link w:val="4"/>
    <w:qFormat/>
    <w:uiPriority w:val="9"/>
    <w:rPr>
      <w:b/>
      <w:bCs/>
      <w:sz w:val="32"/>
      <w:szCs w:val="32"/>
    </w:rPr>
  </w:style>
  <w:style w:type="paragraph" w:styleId="19">
    <w:name w:val="List Paragraph"/>
    <w:basedOn w:val="1"/>
    <w:qFormat/>
    <w:uiPriority w:val="34"/>
    <w:pPr>
      <w:ind w:firstLine="420" w:firstLineChars="200"/>
    </w:pPr>
  </w:style>
  <w:style w:type="paragraph" w:customStyle="1" w:styleId="20">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1">
    <w:name w:val="批注框文本 Char"/>
    <w:basedOn w:val="12"/>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emf"/><Relationship Id="rId14" Type="http://schemas.openxmlformats.org/officeDocument/2006/relationships/oleObject" Target="embeddings/oleObject5.bin"/><Relationship Id="rId13" Type="http://schemas.openxmlformats.org/officeDocument/2006/relationships/image" Target="media/image4.e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F94955-6B61-4CA9-BE99-401E86F4D506}">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527</Words>
  <Characters>3004</Characters>
  <Lines>25</Lines>
  <Paragraphs>7</Paragraphs>
  <TotalTime>34</TotalTime>
  <ScaleCrop>false</ScaleCrop>
  <LinksUpToDate>false</LinksUpToDate>
  <CharactersWithSpaces>3524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2020-06-02T04:04:00Z</dcterms:created>
  <dc:creator>PGOS</dc:creator>
  <cp:lastModifiedBy>Administrator</cp:lastModifiedBy>
  <dcterms:modified xsi:type="dcterms:W3CDTF">2020-06-24T07:28:58Z</dcterms:modified>
  <cp:revision>268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