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Vibe-Coding AI 专属强制执行规范（纯落地执行版）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核心优先级说明</w:t>
      </w:r>
      <w:r>
        <w:rPr>
          <w:rFonts w:eastAsia="等线" w:ascii="Arial" w:cs="Arial" w:hAnsi="Arial"/>
          <w:sz w:val="22"/>
        </w:rPr>
        <w:t>：本规范为最高强制规则，优先级高于一切业务需求、代码优化、简写提速需求。所有代码生成、修改、迭代、重构、Bug修复操作，必须无条件遵守，违规代码视为无效，需重新迭代修正。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适用范围</w:t>
      </w:r>
      <w:r>
        <w:rPr>
          <w:rFonts w:eastAsia="等线" w:ascii="Arial" w:cs="Arial" w:hAnsi="Arial"/>
          <w:sz w:val="22"/>
        </w:rPr>
        <w:t>：所有前端、后端、全栈项目的AI辅助开发、增量迭代、功能新增、代码修改、问题修复场景。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一、强制开发模式（红线不可突破）</w:t>
      </w:r>
      <w:bookmarkEnd w:id="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1. 增量小块迭代规则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禁止一次性生成大段代码、完整模块、整页逻辑、多文件批量修改。所有功能必须拆解为最小颗粒度（单函数、单逻辑、单组件、单接口），单次仅解决一个细分问题，完成自检留存后，再迭代下一部分。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2. 稳定代码只读保护规则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有已调试通过、可正常运行的底层工具、公共方法、基础组件、配置文件、核心稳定逻辑，统一标记为稳定只读。AI仅可调用，禁止私自修改、重构、优化、删减、注释。如需改动底层稳定代码，需单独申请、单独迭代、单独测试，禁止随业务迭代顺带修改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3. 先结构后逻辑规则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任何功能开发前，必须先确定模块职责、文件结构、函数入参出参、依赖关系，再编写业务逻辑。禁止先写代码后补结构，禁止产出无规范、无结构的面条代码、临时凑数逻辑。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二、代码结构强制规范</w:t>
      </w:r>
      <w:bookmarkEnd w:id="4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1. 单一职责原则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一个函数仅实现一个功能，一个文件仅承载一类能力，一个组件仅负责一个视图单元。超长函数、多逻辑混杂、多层嵌套、高耦合代码必须强制拆分重构，禁止堆砌判断逻辑、冗余代码。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2. 四层分层隔离规则（严禁跨层写逻辑）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所有项目严格分层，每层职责固定，禁止跨层掺杂无关逻辑：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入口层（Controller/Page/View）</w:t>
      </w:r>
      <w:r>
        <w:rPr>
          <w:rFonts w:eastAsia="等线" w:ascii="Arial" w:cs="Arial" w:hAnsi="Arial"/>
          <w:sz w:val="22"/>
        </w:rPr>
        <w:t>：仅做参数接收、鉴权、路由分发、结果封装，不编写任何业务逻辑。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业务层（Service/Logic）</w:t>
      </w:r>
      <w:r>
        <w:rPr>
          <w:rFonts w:eastAsia="等线" w:ascii="Arial" w:cs="Arial" w:hAnsi="Arial"/>
          <w:sz w:val="22"/>
        </w:rPr>
        <w:t>：仅负责流程编排、工具函数调用组装，不编写底层计算、数据处理、通用校验逻辑。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工具层（Util/Common）</w:t>
      </w:r>
      <w:r>
        <w:rPr>
          <w:rFonts w:eastAsia="等线" w:ascii="Arial" w:cs="Arial" w:hAnsi="Arial"/>
          <w:sz w:val="22"/>
        </w:rPr>
        <w:t>：统一存放通用计算、格式化、数据校验、异常处理、脱敏等复用能力，全局统一调用。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数据层（DAO/Model/Store）</w:t>
      </w:r>
      <w:r>
        <w:rPr>
          <w:rFonts w:eastAsia="等线" w:ascii="Arial" w:cs="Arial" w:hAnsi="Arial"/>
          <w:sz w:val="22"/>
        </w:rPr>
        <w:t>：仅负责数据读写、状态存储，不处理业务判断、流程逻辑。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3. 统一命名与格式规范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所有变量、函数、文件、组件必须使用语义化英文命名，禁止拼音、随机简写、无意义命名。全程统一缩进、换行、注释风格，禁止残留无意义空行、冗余注释、废弃失效代码。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" w:id="8"/>
      <w:r>
        <w:rPr>
          <w:rFonts w:eastAsia="等线" w:ascii="Arial" w:cs="Arial" w:hAnsi="Arial"/>
          <w:b w:val="true"/>
          <w:sz w:val="32"/>
        </w:rPr>
        <w:t>三、代码稳定性强制规则（杜绝隐性Bug）</w:t>
      </w:r>
      <w:bookmarkEnd w:id="8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1. 全量参数与边界校验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有接口入参、函数参数、外部接口返回数据，必须做非空校验、类型校验、合法性校验。禁止直接使用未校验数据，杜绝空指针、undefined、空数据报错。所有数值、状态、数组逻辑必须做边界兜底（最大值、最小值、0、负数、空数组、空对象）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2. 统一异常捕获机制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有业务逻辑、接口请求、循环遍历、异步操作必须包裹异常捕获，禁止裸奔代码。异常抛出必须携带上下文参数、业务场景、报错位置，禁止仅输出简单报错文案。全局统一返回体、统一错误码、统一提示文案，禁止自定义零散返回格式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3. 禁止私自新增隐性逻辑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AI仅可根据明确需求编写显式逻辑，禁止自主新增优化、兼容、兜底、适配等隐性逻辑，禁止私自删减、修改原有合法业务逻辑。所有新增代码必须可解释、可追溯、对应明确需求。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2" w:id="12"/>
      <w:r>
        <w:rPr>
          <w:rFonts w:eastAsia="等线" w:ascii="Arial" w:cs="Arial" w:hAnsi="Arial"/>
          <w:b w:val="true"/>
          <w:sz w:val="32"/>
        </w:rPr>
        <w:t>四、可排查可追溯强制规则</w:t>
      </w:r>
      <w:bookmarkEnd w:id="12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sz w:val="30"/>
        </w:rPr>
        <w:t>1. 全链路日志规范</w:t>
      </w:r>
      <w:bookmarkEnd w:id="1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所有核心业务流程、函数入口、接口请求、关键逻辑节点，必须打印规范日志，包含入参、出参、关键变量、执行耗时、状态信息。代码报错必须完整打印堆栈信息，禁止捕获异常后静默吞错、隐藏报错。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sz w:val="30"/>
        </w:rPr>
        <w:t>2. 版本迭代可控规则</w:t>
      </w:r>
      <w:bookmarkEnd w:id="1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单次迭代仅修改目标功能对应代码，禁止批量改动无关文件、无关逻辑。每完成一个最小功能单元，留存稳定版本快照，Bug排查优先通过版本对比定位改动点。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b w:val="true"/>
          <w:sz w:val="30"/>
        </w:rPr>
        <w:t>3. 模块化故障隔离规则</w:t>
      </w:r>
      <w:bookmarkEnd w:id="1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所有模块、组件、功能保持低耦合、高内聚，禁止滥用全局变量、跨模块隐性依赖。支持单模块独立启停、单独调试，避免单点故障导致整体项目崩溃。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6" w:id="16"/>
      <w:r>
        <w:rPr>
          <w:rFonts w:eastAsia="等线" w:ascii="Arial" w:cs="Arial" w:hAnsi="Arial"/>
          <w:b w:val="true"/>
          <w:sz w:val="32"/>
        </w:rPr>
        <w:t>五、AI迭代绝对禁止行为（红线）</w:t>
      </w:r>
      <w:bookmarkEnd w:id="1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迭代、编码、重构、优化过程中，严禁出现以下行为：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禁止一次性大规模改写多文件、多模块代码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禁止私自优化、重构、改动已稳定运行的代码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禁止省略参数校验、异常捕获、日志打印逻辑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禁止编写超长嵌套、高耦合、无注释、无结构的面条代码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禁止新增无需求的隐性逻辑、冗余兼容逻辑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禁止删除、注释、篡改原有合法业务代码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禁止改动本次迭代无关的文件与逻辑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7" w:id="17"/>
      <w:r>
        <w:rPr>
          <w:rFonts w:eastAsia="等线" w:ascii="Arial" w:cs="Arial" w:hAnsi="Arial"/>
          <w:b w:val="true"/>
          <w:sz w:val="32"/>
        </w:rPr>
        <w:t>六、AI五层强制自验证框架（写完必走流程）</w:t>
      </w:r>
      <w:bookmarkEnd w:id="1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所有功能编码完成后，</w:t>
      </w:r>
      <w:r>
        <w:rPr>
          <w:rFonts w:eastAsia="等线" w:ascii="Arial" w:cs="Arial" w:hAnsi="Arial"/>
          <w:b w:val="true"/>
          <w:sz w:val="22"/>
        </w:rPr>
        <w:t>必须依次走完五层自检流程</w:t>
      </w:r>
      <w:r>
        <w:rPr>
          <w:rFonts w:eastAsia="等线" w:ascii="Arial" w:cs="Arial" w:hAnsi="Arial"/>
          <w:sz w:val="22"/>
        </w:rPr>
        <w:t>，全部通过方可交付，否则自动修正重写。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8" w:id="18"/>
      <w:r>
        <w:rPr>
          <w:rFonts w:eastAsia="等线" w:ascii="Arial" w:cs="Arial" w:hAnsi="Arial"/>
          <w:b w:val="true"/>
          <w:sz w:val="30"/>
        </w:rPr>
        <w:t>第一层：规范合规自检</w:t>
      </w:r>
      <w:bookmarkEnd w:id="1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校验代码分层合规、无跨层逻辑、无超长嵌套代码、无违规修改稳定代码、命名格式统一、无冗余脑补逻辑。不合规则自动重构整改。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9" w:id="19"/>
      <w:r>
        <w:rPr>
          <w:rFonts w:eastAsia="等线" w:ascii="Arial" w:cs="Arial" w:hAnsi="Arial"/>
          <w:b w:val="true"/>
          <w:sz w:val="30"/>
        </w:rPr>
        <w:t>第二层：参数边界自检</w:t>
      </w:r>
      <w:bookmarkEnd w:id="1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全覆盖校验入参、空值、类型、数值边界、异步返回兜底逻辑，确保无未处理的异常边界场景。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0" w:id="20"/>
      <w:r>
        <w:rPr>
          <w:rFonts w:eastAsia="等线" w:ascii="Arial" w:cs="Arial" w:hAnsi="Arial"/>
          <w:b w:val="true"/>
          <w:sz w:val="30"/>
        </w:rPr>
        <w:t>第三层：异常日志自检</w:t>
      </w:r>
      <w:bookmarkEnd w:id="2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校验核心逻辑均有异常捕获、报错携带完整上下文、关键节点日志齐全、无静默吞错代码。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1" w:id="21"/>
      <w:r>
        <w:rPr>
          <w:rFonts w:eastAsia="等线" w:ascii="Arial" w:cs="Arial" w:hAnsi="Arial"/>
          <w:b w:val="true"/>
          <w:sz w:val="30"/>
        </w:rPr>
        <w:t>第四层：业务功能自检</w:t>
      </w:r>
      <w:bookmarkEnd w:id="2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模拟正常、临界、异常三类测试场景，确保功能100%匹配需求、无偏差、无脑补、流程通畅、异常不崩溃、数据不混乱、返回格式统一。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2" w:id="22"/>
      <w:r>
        <w:rPr>
          <w:rFonts w:eastAsia="等线" w:ascii="Arial" w:cs="Arial" w:hAnsi="Arial"/>
          <w:b w:val="true"/>
          <w:sz w:val="30"/>
        </w:rPr>
        <w:t>第五层：沙盒预运行自检</w:t>
      </w:r>
      <w:bookmarkEnd w:id="2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在隔离沙盒环境运行完整功能，排查运行时报错、死循环、性能异常、数据篡改、旧功能兼容性问题，确保迭代不破坏原有稳定逻辑。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3" w:id="23"/>
      <w:r>
        <w:rPr>
          <w:rFonts w:eastAsia="等线" w:ascii="Arial" w:cs="Arial" w:hAnsi="Arial"/>
          <w:b w:val="true"/>
          <w:sz w:val="32"/>
        </w:rPr>
        <w:t>七、最终交付合格标准</w:t>
      </w:r>
      <w:bookmarkEnd w:id="2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AI开发的代码必须同时满足以下所有条件，才算合格交付：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结构合规：分层清晰、无面条代码、无违规改动、格式统一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边界完备：全量参数校验、全场景边界兜底、无隐性风险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可观测：日志完整、异常可追溯、报错有堆栈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功能准确：完全匹配需求，无额外脑补、无功能偏差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运行稳定：沙盒运行无报错、无冲突、不影响旧功能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865772">
    <w:lvl>
      <w:numFmt w:val="bullet"/>
      <w:suff w:val="tab"/>
      <w:lvlText w:val="•"/>
      <w:rPr>
        <w:color w:val="3370ff"/>
      </w:rPr>
    </w:lvl>
  </w:abstractNum>
  <w:abstractNum w:abstractNumId="865773">
    <w:lvl>
      <w:numFmt w:val="bullet"/>
      <w:suff w:val="tab"/>
      <w:lvlText w:val="•"/>
      <w:rPr>
        <w:color w:val="3370ff"/>
      </w:rPr>
    </w:lvl>
  </w:abstractNum>
  <w:abstractNum w:abstractNumId="865774">
    <w:lvl>
      <w:numFmt w:val="bullet"/>
      <w:suff w:val="tab"/>
      <w:lvlText w:val="•"/>
      <w:rPr>
        <w:color w:val="3370ff"/>
      </w:rPr>
    </w:lvl>
  </w:abstractNum>
  <w:abstractNum w:abstractNumId="865775">
    <w:lvl>
      <w:numFmt w:val="bullet"/>
      <w:suff w:val="tab"/>
      <w:lvlText w:val="•"/>
      <w:rPr>
        <w:color w:val="3370ff"/>
      </w:rPr>
    </w:lvl>
  </w:abstractNum>
  <w:abstractNum w:abstractNumId="865776">
    <w:lvl>
      <w:numFmt w:val="bullet"/>
      <w:suff w:val="tab"/>
      <w:lvlText w:val="•"/>
      <w:rPr>
        <w:color w:val="3370ff"/>
      </w:rPr>
    </w:lvl>
  </w:abstractNum>
  <w:abstractNum w:abstractNumId="865777">
    <w:lvl>
      <w:numFmt w:val="bullet"/>
      <w:suff w:val="tab"/>
      <w:lvlText w:val="•"/>
      <w:rPr>
        <w:color w:val="3370ff"/>
      </w:rPr>
    </w:lvl>
  </w:abstractNum>
  <w:abstractNum w:abstractNumId="865778">
    <w:lvl>
      <w:numFmt w:val="bullet"/>
      <w:suff w:val="tab"/>
      <w:lvlText w:val="•"/>
      <w:rPr>
        <w:color w:val="3370ff"/>
      </w:rPr>
    </w:lvl>
  </w:abstractNum>
  <w:abstractNum w:abstractNumId="865779">
    <w:lvl>
      <w:numFmt w:val="bullet"/>
      <w:suff w:val="tab"/>
      <w:lvlText w:val="•"/>
      <w:rPr>
        <w:color w:val="3370ff"/>
      </w:rPr>
    </w:lvl>
  </w:abstractNum>
  <w:abstractNum w:abstractNumId="865780">
    <w:lvl>
      <w:numFmt w:val="bullet"/>
      <w:suff w:val="tab"/>
      <w:lvlText w:val="•"/>
      <w:rPr>
        <w:color w:val="3370ff"/>
      </w:rPr>
    </w:lvl>
  </w:abstractNum>
  <w:abstractNum w:abstractNumId="865781">
    <w:lvl>
      <w:numFmt w:val="bullet"/>
      <w:suff w:val="tab"/>
      <w:lvlText w:val="•"/>
      <w:rPr>
        <w:color w:val="3370ff"/>
      </w:rPr>
    </w:lvl>
  </w:abstractNum>
  <w:abstractNum w:abstractNumId="865782">
    <w:lvl>
      <w:numFmt w:val="bullet"/>
      <w:suff w:val="tab"/>
      <w:lvlText w:val="•"/>
      <w:rPr>
        <w:color w:val="3370ff"/>
      </w:rPr>
    </w:lvl>
  </w:abstractNum>
  <w:abstractNum w:abstractNumId="865783">
    <w:lvl>
      <w:start w:val="1"/>
      <w:numFmt w:val="decimal"/>
      <w:suff w:val="tab"/>
      <w:lvlText w:val="%1."/>
      <w:rPr>
        <w:color w:val="3370ff"/>
      </w:rPr>
    </w:lvl>
  </w:abstractNum>
  <w:abstractNum w:abstractNumId="865784">
    <w:lvl>
      <w:start w:val="2"/>
      <w:numFmt w:val="decimal"/>
      <w:suff w:val="tab"/>
      <w:lvlText w:val="%1."/>
      <w:rPr>
        <w:color w:val="3370ff"/>
      </w:rPr>
    </w:lvl>
  </w:abstractNum>
  <w:abstractNum w:abstractNumId="865785">
    <w:lvl>
      <w:start w:val="3"/>
      <w:numFmt w:val="decimal"/>
      <w:suff w:val="tab"/>
      <w:lvlText w:val="%1."/>
      <w:rPr>
        <w:color w:val="3370ff"/>
      </w:rPr>
    </w:lvl>
  </w:abstractNum>
  <w:abstractNum w:abstractNumId="865786">
    <w:lvl>
      <w:start w:val="4"/>
      <w:numFmt w:val="decimal"/>
      <w:suff w:val="tab"/>
      <w:lvlText w:val="%1."/>
      <w:rPr>
        <w:color w:val="3370ff"/>
      </w:rPr>
    </w:lvl>
  </w:abstractNum>
  <w:abstractNum w:abstractNumId="865787">
    <w:lvl>
      <w:start w:val="5"/>
      <w:numFmt w:val="decimal"/>
      <w:suff w:val="tab"/>
      <w:lvlText w:val="%1."/>
      <w:rPr>
        <w:color w:val="3370ff"/>
      </w:rPr>
    </w:lvl>
  </w:abstractNum>
  <w:num w:numId="1">
    <w:abstractNumId w:val="865772"/>
  </w:num>
  <w:num w:numId="2">
    <w:abstractNumId w:val="865773"/>
  </w:num>
  <w:num w:numId="3">
    <w:abstractNumId w:val="865774"/>
  </w:num>
  <w:num w:numId="4">
    <w:abstractNumId w:val="865775"/>
  </w:num>
  <w:num w:numId="5">
    <w:abstractNumId w:val="865776"/>
  </w:num>
  <w:num w:numId="6">
    <w:abstractNumId w:val="865777"/>
  </w:num>
  <w:num w:numId="7">
    <w:abstractNumId w:val="865778"/>
  </w:num>
  <w:num w:numId="8">
    <w:abstractNumId w:val="865779"/>
  </w:num>
  <w:num w:numId="9">
    <w:abstractNumId w:val="865780"/>
  </w:num>
  <w:num w:numId="10">
    <w:abstractNumId w:val="865781"/>
  </w:num>
  <w:num w:numId="11">
    <w:abstractNumId w:val="865782"/>
  </w:num>
  <w:num w:numId="12">
    <w:abstractNumId w:val="865783"/>
  </w:num>
  <w:num w:numId="13">
    <w:abstractNumId w:val="865784"/>
  </w:num>
  <w:num w:numId="14">
    <w:abstractNumId w:val="865785"/>
  </w:num>
  <w:num w:numId="15">
    <w:abstractNumId w:val="865786"/>
  </w:num>
  <w:num w:numId="16">
    <w:abstractNumId w:val="865787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2026-08-09T04:32:56Z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{"Label":"1","ContentProducer":"001191110102MACQD9K64010000","ProduceID":"7671885110173862870","ReservedCode1":"","ContentPropagator":"","PropagateID":"","ReservedCode2":""}</vt:lpwstr>
  </property>
</Properties>
</file>