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32"/>
        </w:rPr>
        <w:t>标普500全周期交易模型  监控日报</w:t>
      </w:r>
    </w:p>
    <w:p>
      <w:pPr>
        <w:jc w:val="center"/>
      </w:pPr>
      <w:r>
        <w:rPr>
          <w:rFonts w:ascii="Arial" w:hAnsi="Arial"/>
          <w:color w:val="595959"/>
          <w:sz w:val="18"/>
        </w:rPr>
        <w:t>2026-04-12  |  v10.1  |  自动生成</w:t>
      </w:r>
    </w:p>
    <w:p>
      <w:pPr>
        <w:jc w:val="center"/>
      </w:pPr>
      <w:r>
        <w:rPr>
          <w:rFonts w:ascii="Arial" w:hAnsi="Arial"/>
          <w:b/>
          <w:color w:val="1F3864"/>
          <w:sz w:val="20"/>
        </w:rPr>
        <w:t>均线环境：W+200 牛市  |  当前：空仓</w:t>
      </w:r>
    </w:p>
    <w:p/>
    <w:p>
      <w:pPr>
        <w:spacing w:before="240" w:after="80"/>
        <w:pBdr>
          <w:bottom w:val="single" w:sz="6" w:space="1" w:color="2F75B6"/>
        </w:pBdr>
      </w:pPr>
      <w:r>
        <w:rPr>
          <w:rFonts w:ascii="Arial" w:hAnsi="Arial"/>
          <w:b/>
          <w:color w:val="2F75B6"/>
          <w:sz w:val="22"/>
        </w:rPr>
        <w:t>一、核心指标快照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val="369"/>
        </w:trP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标普500点位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6,817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ATH回撤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2.3%</w:t>
            </w:r>
          </w:p>
        </w:tc>
      </w:tr>
      <w:tr>
        <w:trPr>
          <w:trHeight w:val="369"/>
        </w:trP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VIX恐慌指数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19.23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V_e偏离度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-12.4%</w:t>
            </w:r>
          </w:p>
        </w:tc>
      </w:tr>
      <w:tr>
        <w:trPr>
          <w:trHeight w:val="369"/>
        </w:trP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ERP股权溢价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1.76%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Forward PE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26.9x</w:t>
            </w:r>
          </w:p>
        </w:tc>
      </w:tr>
      <w:tr>
        <w:trPr>
          <w:trHeight w:val="369"/>
        </w:trP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E+/E+2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True/False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E-/E-2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False/False</w:t>
            </w:r>
          </w:p>
        </w:tc>
      </w:tr>
      <w:tr>
        <w:trPr>
          <w:trHeight w:val="369"/>
        </w:trP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P+/P-（估值）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P+偏贵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S+从底部反弹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7.5%</w:t>
            </w:r>
          </w:p>
        </w:tc>
      </w:tr>
      <w:tr>
        <w:trPr>
          <w:trHeight w:val="369"/>
        </w:trP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NFCI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-0.433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NFCI月变化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+0.054</w:t>
            </w:r>
          </w:p>
        </w:tc>
      </w:tr>
      <w:tr>
        <w:trPr>
          <w:trHeight w:val="369"/>
        </w:trP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HY信用利差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2.90%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HY_c20变化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-0.270</w:t>
            </w:r>
          </w:p>
        </w:tc>
      </w:tr>
      <w:tr>
        <w:trPr>
          <w:trHeight w:val="369"/>
        </w:trP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Y利差（10Y-2Y）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0.500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联储利率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3.64%</w:t>
            </w:r>
          </w:p>
        </w:tc>
      </w:tr>
      <w:tr>
        <w:trPr>
          <w:trHeight w:val="369"/>
        </w:trP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实际利率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1.95%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CPI同比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2.7%</w:t>
            </w:r>
          </w:p>
        </w:tc>
      </w:tr>
      <w:tr>
        <w:trPr>
          <w:trHeight w:val="369"/>
        </w:trP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MFG制造业同比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N/A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WALCL_1000亿/13周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✓</w:t>
            </w:r>
          </w:p>
        </w:tc>
      </w:tr>
      <w:tr>
        <w:trPr>
          <w:trHeight w:val="369"/>
        </w:trP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TLT（空仓期）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未持有 | 价格86.49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V_new（恐慌企稳）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✓</w:t>
            </w:r>
          </w:p>
        </w:tc>
      </w:tr>
    </w:tbl>
    <w:p/>
    <w:p>
      <w:pPr>
        <w:jc w:val="center"/>
      </w:pPr>
      <w:r>
        <w:rPr>
          <w:b/>
          <w:color w:val="C00000"/>
          <w:sz w:val="26"/>
        </w:rPr>
        <w:t>⚠  有信号触发，请立即关注！</w:t>
      </w:r>
    </w:p>
    <w:p/>
    <w:p>
      <w:pPr>
        <w:spacing w:before="240" w:after="80"/>
        <w:pBdr>
          <w:bottom w:val="single" w:sz="6" w:space="1" w:color="2F75B6"/>
        </w:pBdr>
      </w:pPr>
      <w:r>
        <w:rPr>
          <w:rFonts w:ascii="Arial" w:hAnsi="Arial"/>
          <w:b/>
          <w:color w:val="2F75B6"/>
          <w:sz w:val="22"/>
        </w:rPr>
        <w:t>二、入场情景详细检测</w:t>
      </w:r>
    </w:p>
    <w:p>
      <w:pPr>
        <w:spacing w:before="160" w:after="40"/>
      </w:pPr>
      <w:r>
        <w:rPr>
          <w:rFonts w:ascii="Arial" w:hAnsi="Arial"/>
          <w:b/>
          <w:color w:val="595959"/>
          <w:sz w:val="20"/>
        </w:rPr>
        <w:t>情景1A  ✗ 未触发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W+200（牛市均线上方）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✓ W+200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10%≤S回撤&lt;23.5%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2.3%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ERP≥1.5%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1.76%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E+2（EPS连续两期增长）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False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 N+≥0.3（无过度宽松）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 P+（估值不过热）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26.9x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触发器（1选1）：Y+/N_front/P-/V_new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Y+（收益率曲线不倒挂）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0.500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N_front（流动性改善）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P-（估值偏低）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26.9x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V_new（恐慌后企稳）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41.4%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595959"/>
          <w:sz w:val="20"/>
        </w:rPr>
        <w:t>情景1D  ✗ 未触发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W+200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✓ W+200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S回撤≥23.5%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2.3%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ERP≥1.5%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1.76%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E+2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False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 N+≥0.3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 P+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26.9x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触发器（1选1）：Y+/N_front/P-/V_new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595959"/>
          <w:sz w:val="20"/>
        </w:rPr>
        <w:t>情景2A  ✗ 未触发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W+200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✓ W+200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10%≤S回撤&lt;23.5%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2.3%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ERP≥1.5%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1.76%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E+（EPS单期增长，弱版）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True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 N+≥0.3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 P+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26.9x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触发器（4选2）：Y+/N_front/P-/V_new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Y+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0.500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N_front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P-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26.9x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V_new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41.4%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595959"/>
          <w:sz w:val="20"/>
        </w:rPr>
        <w:t>情景2D  ✗ 未触发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W+200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✓ W+200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S回撤≥23.5%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2.3%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ERP≥1.5%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1.76%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E+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True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 N+≥0.3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 P+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26.9x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触发器（4选2）：Y+/N_front/P-/V_new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595959"/>
          <w:sz w:val="20"/>
        </w:rPr>
        <w:t>情景3A  ✗ 未触发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W+200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✓ W+200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S回撤≥5%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2.3%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ERP≥1.5%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1.76%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N_front（流动性改善）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计分≥3（当前4/5）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E+或E+2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True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F0或F-（联储中性/宽松）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3.64%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ERP≥2.5%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1.76%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S+1（月度上涨）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V≤V_c或Y+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19.23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C00000"/>
          <w:sz w:val="20"/>
        </w:rPr>
        <w:t>情景3B  🚨 【触发！】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W+200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✓ W+200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S回撤&lt;5%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2.3%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ERP≥1.5%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1.76%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N_front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E+或E+2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True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 (CPI&gt;4% AND R&lt;0)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计分≥2（当前3/4）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F0或F-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3.64%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ERP≥2.5%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1.76%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S+1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V≤V_c或Y+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19.23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595959"/>
          <w:sz w:val="20"/>
        </w:rPr>
        <w:t>情景4A  ✗ 未触发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S回撤&gt;35%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2.3%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HY信用利差&gt;10%（系统性危机）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2.90%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V_e&gt;80%（极度恐慌）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-12.4%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N_c&lt;0 OR N&lt;0（流动性转暖）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-0.433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595959"/>
          <w:sz w:val="20"/>
        </w:rPr>
        <w:t>情景4B  ✗ 未触发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S回撤&gt;50%（历史级别崩盘）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2.3%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WALCL+≥1000亿/13周（QE触发）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595959"/>
          <w:sz w:val="20"/>
        </w:rPr>
        <w:t>情景4C  ✗ 未触发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S回撤&gt;30%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2.3%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8%&lt;HY&lt;12%（危机但未极端）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2.90%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V_e&gt;80%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-12.4%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N&lt;1（流动性尚可）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-0.433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WALCL+≥1000亿/13周（QE）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</w:tbl>
    <w:p/>
    <w:p>
      <w:pPr>
        <w:spacing w:before="240" w:after="80"/>
        <w:pBdr>
          <w:bottom w:val="single" w:sz="6" w:space="1" w:color="2F75B6"/>
        </w:pBdr>
      </w:pPr>
      <w:r>
        <w:rPr>
          <w:rFonts w:ascii="Arial" w:hAnsi="Arial"/>
          <w:b/>
          <w:color w:val="2F75B6"/>
          <w:sz w:val="22"/>
        </w:rPr>
        <w:t>三、离场情景详细检测</w:t>
      </w:r>
    </w:p>
    <w:p>
      <w:pPr>
        <w:spacing w:before="160" w:after="40"/>
      </w:pPr>
      <w:r>
        <w:rPr>
          <w:rFonts w:ascii="Arial" w:hAnsi="Arial"/>
          <w:b/>
          <w:color w:val="595959"/>
          <w:sz w:val="20"/>
        </w:rPr>
        <w:t>离场3（最高优先级）  ✗ 未触发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Y-或E-2（基本面恶化）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N≥0.2（流动性显著收紧）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-0.433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N_c&gt;0.1（月度快速恶化）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ERP&lt;4.0%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1.76%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595959"/>
          <w:sz w:val="20"/>
        </w:rPr>
        <w:t>离场1  ✗ 未触发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W+200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✓ W+200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Y-或E-/E-2（基本面恶化）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F+（联储紧缩）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3.64%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ERP&lt;0（股票性价比为负）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1.76%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触发器≥1（当前1/2）：N-≥0.15 or P+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N-≥0.15（流动性月度收紧）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P+（估值偏高）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26.9x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595959"/>
          <w:sz w:val="20"/>
        </w:rPr>
        <w:t>离场2  ✗ 未触发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W+200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✓ W+200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S-1（月度下跌趋势）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S_dd+（距18月高点&lt;15%）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N_c≥0.1（流动性快速恶化）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V&gt;V_p（恐慌超基线）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19.23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触发器≥4（当前1/7）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Y-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0.500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N-≥0.15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F+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3.64%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E-2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False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P+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26.9x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ERP&lt;1.0%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1.76%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MFG&lt;-3%（制造业收缩）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</w:tbl>
    <w:p/>
    <w:p>
      <w:pPr>
        <w:jc w:val="center"/>
      </w:pPr>
      <w:r>
        <w:rPr>
          <w:color w:val="595959"/>
          <w:sz w:val="16"/>
        </w:rPr>
        <w:t>标普500全周期交易模型监控系统 v10.1  |  自动生成于 2026-04-12 11:32:37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