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2"/>
        </w:rPr>
        <w:t>标普500全周期交易模型  监控日报</w:t>
      </w:r>
    </w:p>
    <w:p>
      <w:pPr>
        <w:jc w:val="center"/>
      </w:pPr>
      <w:r>
        <w:rPr>
          <w:rFonts w:ascii="Arial" w:hAnsi="Arial"/>
          <w:color w:val="595959"/>
          <w:sz w:val="18"/>
        </w:rPr>
        <w:t>2026-04-14  |  v10.3  |  自动生成</w:t>
      </w:r>
    </w:p>
    <w:p>
      <w:pPr>
        <w:jc w:val="center"/>
      </w:pPr>
      <w:r>
        <w:rPr>
          <w:rFonts w:ascii="Arial" w:hAnsi="Arial"/>
          <w:b/>
          <w:color w:val="1F3864"/>
          <w:sz w:val="20"/>
        </w:rPr>
        <w:t>均线环境：W+200 牛市  |  当前：空仓</w:t>
      </w:r>
    </w:p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一、核心指标快照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标普500点位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6,940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ATH回撤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0.6%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VIX恐慌指数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18.06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V_e偏离度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-17.7%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ERP股权溢价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1.70%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Forward PE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27.4x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E+/E+2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True/False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E-/E-2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False/False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P+/P-（估值）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P+偏贵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S+从底部反弹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9.4%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NFCI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-0.433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NFCI月变化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+0.054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HY信用利差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2.95%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HY_c20变化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-0.320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Y利差（10Y-2Y）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0.520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联储利率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3.64%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实际利率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1.95%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CPI同比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2.7%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MFG制造业同比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N/A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WALCL_1000亿/13周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✓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TLT（空仓期）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未持有 | 价格86.95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V_new（恐慌企稳）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✓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OIL原油价格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93.2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OIL_block屏蔽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⚠️ 是</w:t>
            </w:r>
          </w:p>
        </w:tc>
      </w:tr>
      <w:tr>
        <w:trPr>
          <w:trHeight w:val="369"/>
        </w:trP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OIL_c20(20日涨幅)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-0.3%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F3864"/>
                <w:sz w:val="18"/>
              </w:rPr>
              <w:t>OIL_pct5y(5年百分位)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3864"/>
                <w:sz w:val="18"/>
              </w:rPr>
              <w:t>89.2%</w:t>
            </w:r>
          </w:p>
        </w:tc>
      </w:tr>
    </w:tbl>
    <w:p/>
    <w:p>
      <w:pPr>
        <w:jc w:val="center"/>
      </w:pPr>
      <w:r>
        <w:rPr>
          <w:b/>
          <w:color w:val="375623"/>
          <w:sz w:val="26"/>
        </w:rPr>
        <w:t>✓  无信号触发，继续等待</w:t>
      </w:r>
    </w:p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二、入场情景详细检测</w:t>
      </w:r>
    </w:p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情景1A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W+200（牛市均线上方）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10%≤S回撤&lt;23.5%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E+2（EPS连续两期增长）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N+≥0.3（无过度宽松）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P+（估值不过热）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触发器（1选1）：Y+/N_front/P-/V_new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Y+（收益率曲线不倒挂）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0.520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N_front（流动性改善）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P-（估值偏低）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V_new（恐慌后企稳）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情景1D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E+2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触发器（1选1）：Y+/N_front/P-/V_new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情景2A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10%≤S回撤&lt;23.5%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E+（EPS单期增长，弱版）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触发器（4选2）：Y+/N_front/P-/V_new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0.520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N_front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P-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41.4%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情景2D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S回撤≥23.5%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N+≥0.3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P+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触发器（4选2）：Y+/N_front/P-/V_new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情景3A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S回撤≥5%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ERP≥2.5%（v10.3升级）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N_front（流动性改善）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OIL_block（无能源冲击）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-0.3% / 89.2%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计分≥3（当前4/5）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E+或E+2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F0或F-（联储中性/宽松）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ERP≥3%（v10.3升级）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S+1（月度上涨）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V≤V_c或Y+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18.06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情景3B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S回撤&lt;5%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ERP≥1.5%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N_front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E+或E+2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True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 OIL_block（无能源冲击，v10.3）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-0.3% / 89.2%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计分≥2（当前3/4）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F0或F-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ERP≥2.5%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S+1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V≤V_c或Y+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18.06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情景4A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S回撤&gt;35%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HY信用利差&gt;10%（系统性危机）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2.95%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V_e&gt;80%（极度恐慌）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-17.7%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N_c&lt;0 OR N&lt;0（流动性转暖）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情景4B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S回撤&gt;50%（历史级别崩盘）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WALCL+≥1000亿/13周（QE触发）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情景4C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S回撤&gt;30%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8%&lt;HY&lt;12%（危机但未极端）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2.95%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V_e&gt;80%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-17.7%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N&lt;1（流动性尚可）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WALCL+≥1000亿/13周（QE）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/>
    <w:p>
      <w:pPr>
        <w:spacing w:before="240" w:after="80"/>
        <w:pBdr>
          <w:bottom w:val="single" w:sz="6" w:space="1" w:color="2F75B6"/>
        </w:pBdr>
      </w:pPr>
      <w:r>
        <w:rPr>
          <w:rFonts w:ascii="Arial" w:hAnsi="Arial"/>
          <w:b/>
          <w:color w:val="2F75B6"/>
          <w:sz w:val="22"/>
        </w:rPr>
        <w:t>三、离场情景详细检测</w:t>
      </w:r>
    </w:p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离场3（最高优先级）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Y-或E-2（基本面恶化）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N≥0.2（流动性显著收紧）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-0.433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N_c&gt;0.1（月度快速恶化）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ERP&lt;4.0%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离场1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Y-或E-/E-2（基本面恶化）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F+（联储紧缩）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ERP&lt;0（股票性价比为负）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触发器≥1（当前1/2）：N-≥0.15 or P+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N-≥0.15（流动性月度收紧）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P+（估值偏高）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595959"/>
          <w:sz w:val="20"/>
        </w:rPr>
        <w:t>离场2  ✗ 未触发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W+200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✓ W+200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S-1（月度下跌趋势）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S_dd+（距18月高点&lt;15%）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N_c≥0.1（流动性快速恶化）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V&gt;V_p（恐慌超基线）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18.06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触发器≥4（当前1/7）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Y-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0.520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N-≥0.15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0.054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F+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3.64%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E-2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False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E2EFD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P+</w:t>
            </w:r>
          </w:p>
        </w:tc>
        <w:tc>
          <w:tcPr>
            <w:tcW w:type="dxa" w:w="1701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27.4x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75623"/>
                <w:sz w:val="20"/>
              </w:rPr>
              <w:t>✓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ERP&lt;1.0%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1.70%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  <w:tr>
        <w:trPr>
          <w:trHeight w:val="340"/>
        </w:trPr>
        <w:tc>
          <w:tcPr>
            <w:tcW w:type="dxa" w:w="4252"/>
            <w:shd w:val="clear" w:color="auto"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 xml:space="preserve">  MFG&lt;-3%（制造业收缩）</w:t>
            </w:r>
          </w:p>
        </w:tc>
        <w:tc>
          <w:tcPr>
            <w:tcW w:type="dxa" w:w="1701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  <w:tc>
          <w:tcPr>
            <w:tcW w:type="dxa" w:w="850"/>
            <w:shd w:val="clear" w:color="auto"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✗</w:t>
            </w:r>
          </w:p>
        </w:tc>
      </w:tr>
    </w:tbl>
    <w:p/>
    <w:p>
      <w:pPr>
        <w:jc w:val="center"/>
      </w:pPr>
      <w:r>
        <w:rPr>
          <w:color w:val="595959"/>
          <w:sz w:val="16"/>
        </w:rPr>
        <w:t>标普500全周期交易模型监控系统 v10.3  |  自动生成于 2026-04-14 14:58:34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