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60" w:before="2000"/>
        <w:jc w:val="center"/>
      </w:pPr>
      <w:r>
        <w:t xml:space="preserve">项目活动汇总</w:t>
      </w:r>
    </w:p>
    <w:p>
      <w:pPr>
        <w:spacing w:after="500"/>
        <w:jc w:val="center"/>
      </w:pPr>
      <w:r>
        <w:rPr>
          <w:rFonts w:ascii="Arial Unicode MS" w:cs="Arial Unicode MS" w:eastAsia="Heiti SC" w:hAnsi="Arial Unicode MS"/>
          <w:color w:val="333333"/>
          <w:sz w:val="26"/>
          <w:szCs w:val="26"/>
        </w:rPr>
        <w:t xml:space="preserve">功能入口 参与流程 接口与启用状态</w:t>
      </w:r>
    </w:p>
    <w:p>
      <w:pPr>
        <w:spacing w:after="900"/>
        <w:jc w:val="center"/>
      </w:pPr>
      <w:r>
        <w:rPr>
          <w:rFonts w:ascii="Arial Unicode MS" w:cs="Arial Unicode MS" w:eastAsia="Heiti SC" w:hAnsi="Arial Unicode MS"/>
          <w:color w:val="666666"/>
          <w:sz w:val="19"/>
          <w:szCs w:val="19"/>
        </w:rPr>
        <w:t xml:space="preserve">整理日期 2026 年 9 月 22 日</w:t>
      </w:r>
    </w:p>
    <w:p>
      <w:pPr>
        <w:spacing w:after="110" w:line="290"/>
      </w:pPr>
      <w:r>
        <w:rPr>
          <w:rFonts w:ascii="Arial Unicode MS" w:cs="Arial Unicode MS" w:eastAsia="Heiti SC" w:hAnsi="Arial Unicode MS"/>
          <w:color w:val="222222"/>
          <w:sz w:val="21"/>
          <w:szCs w:val="21"/>
        </w:rPr>
        <w:t xml:space="preserve">本报告汇总项目中已实现或仍保留路由的活动页面。它区分新版活动中心、旧 Bonus 页面和未启用原型，并说明用户入口、前端流程、关联接口和代码位置。奖励金额、资格、活动时间和次数均由服务端响应或运营文案决定，本文不将前端演示值视为正式规则。</w:t>
      </w:r>
    </w:p>
    <w:p>
      <w:r>
        <w:br w:type="page"/>
      </w:r>
    </w:p>
    <w:p>
      <w:pPr>
        <w:pStyle w:val="Heading1"/>
        <w:keepNext/>
        <w:spacing w:after="120" w:before="300"/>
      </w:pPr>
      <w:r>
        <w:t xml:space="preserve">活动总览</w:t>
      </w:r>
    </w:p>
    <w:p>
      <w:pPr>
        <w:spacing w:after="110" w:line="290"/>
      </w:pPr>
      <w:r>
        <w:rPr>
          <w:rFonts w:ascii="Arial Unicode MS" w:cs="Arial Unicode MS" w:eastAsia="Heiti SC" w:hAnsi="Arial Unicode MS"/>
          <w:color w:val="222222"/>
          <w:sz w:val="21"/>
          <w:szCs w:val="21"/>
        </w:rPr>
        <w:t xml:space="preserve">项目同时存在新版活动中心和旧 Bonus 活动列表。部分活动通过接口可见性或登录状态控制展示，部分旧路由仅保留规则展示。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550"/>
        <w:gridCol w:w="1900"/>
        <w:gridCol w:w="2200"/>
        <w:gridCol w:w="1800"/>
      </w:tblGrid>
      <w:tr>
        <w:trPr>
          <w:tblHeader/>
        </w:trPr>
        <w:tc>
          <w:tcPr>
            <w:shd w:fill="1F4E78" w:color="1F4E7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center"/>
            </w:pPr>
            <w:r>
              <w:rPr>
                <w:rFonts w:ascii="Arial Unicode MS" w:cs="Arial Unicode MS" w:eastAsia="Heiti SC" w:hAnsi="Arial Unicode MS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shd w:fill="1F4E78" w:color="1F4E7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center"/>
            </w:pPr>
            <w:r>
              <w:rPr>
                <w:rFonts w:ascii="Arial Unicode MS" w:cs="Arial Unicode MS" w:eastAsia="Heiti SC" w:hAnsi="Arial Unicode MS"/>
                <w:b/>
                <w:bCs/>
                <w:color w:val="FFFFFF"/>
                <w:sz w:val="18"/>
                <w:szCs w:val="18"/>
              </w:rPr>
              <w:t xml:space="preserve">活动</w:t>
            </w:r>
          </w:p>
        </w:tc>
        <w:tc>
          <w:tcPr>
            <w:shd w:fill="1F4E78" w:color="1F4E7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center"/>
            </w:pPr>
            <w:r>
              <w:rPr>
                <w:rFonts w:ascii="Arial Unicode MS" w:cs="Arial Unicode MS" w:eastAsia="Heiti SC" w:hAnsi="Arial Unicode MS"/>
                <w:b/>
                <w:bCs/>
                <w:color w:val="FFFFFF"/>
                <w:sz w:val="18"/>
                <w:szCs w:val="18"/>
              </w:rPr>
              <w:t xml:space="preserve">路由或入口</w:t>
            </w:r>
          </w:p>
        </w:tc>
        <w:tc>
          <w:tcPr>
            <w:shd w:fill="1F4E78" w:color="1F4E7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center"/>
            </w:pPr>
            <w:r>
              <w:rPr>
                <w:rFonts w:ascii="Arial Unicode MS" w:cs="Arial Unicode MS" w:eastAsia="Heiti SC" w:hAnsi="Arial Unicode MS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center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shd w:fill="FFFFFF" w:color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每日签到</w:t>
            </w:r>
          </w:p>
        </w:tc>
        <w:tc>
          <w:tcPr>
            <w:shd w:fill="FFFFFF" w:color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/dailyCheckIn</w:t>
            </w:r>
          </w:p>
        </w:tc>
        <w:tc>
          <w:tcPr>
            <w:shd w:fill="FFFFFF" w:color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启用</w:t>
            </w:r>
          </w:p>
        </w:tc>
      </w:tr>
      <w:tr>
        <w:tc>
          <w:tcPr>
            <w:shd w:fill="F4F7FA" w:color="F4F7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center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shd w:fill="F4F7FA" w:color="F4F7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新人礼包 首充礼包</w:t>
            </w:r>
          </w:p>
        </w:tc>
        <w:tc>
          <w:tcPr>
            <w:shd w:fill="F4F7FA" w:color="F4F7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/newbieGift</w:t>
            </w:r>
          </w:p>
        </w:tc>
        <w:tc>
          <w:tcPr>
            <w:shd w:fill="F4F7FA" w:color="F4F7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按接口可见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center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shd w:fill="FFFFFF" w:color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宝箱</w:t>
            </w:r>
          </w:p>
        </w:tc>
        <w:tc>
          <w:tcPr>
            <w:shd w:fill="FFFFFF" w:color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共享弹窗</w:t>
            </w:r>
          </w:p>
        </w:tc>
        <w:tc>
          <w:tcPr>
            <w:shd w:fill="FFFFFF" w:color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按接口可见</w:t>
            </w:r>
          </w:p>
        </w:tc>
      </w:tr>
      <w:tr>
        <w:tc>
          <w:tcPr>
            <w:shd w:fill="F4F7FA" w:color="F4F7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center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shd w:fill="F4F7FA" w:color="F4F7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幸运转盘 邀请奖励</w:t>
            </w:r>
          </w:p>
        </w:tc>
        <w:tc>
          <w:tcPr>
            <w:shd w:fill="F4F7FA" w:color="F4F7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/luckyReferral</w:t>
            </w:r>
          </w:p>
        </w:tc>
        <w:tc>
          <w:tcPr>
            <w:shd w:fill="F4F7FA" w:color="F4F7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启用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center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shd w:fill="FFFFFF" w:color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任务中心</w:t>
            </w:r>
          </w:p>
        </w:tc>
        <w:tc>
          <w:tcPr>
            <w:shd w:fill="FFFFFF" w:color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/weeklyMissions</w:t>
            </w:r>
          </w:p>
        </w:tc>
        <w:tc>
          <w:tcPr>
            <w:shd w:fill="FFFFFF" w:color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启用</w:t>
            </w:r>
          </w:p>
        </w:tc>
      </w:tr>
      <w:tr>
        <w:tc>
          <w:tcPr>
            <w:shd w:fill="F4F7FA" w:color="F4F7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center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shd w:fill="F4F7FA" w:color="F4F7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红包雨</w:t>
            </w:r>
          </w:p>
        </w:tc>
        <w:tc>
          <w:tcPr>
            <w:shd w:fill="F4F7FA" w:color="F4F7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/redPacket</w:t>
            </w:r>
          </w:p>
        </w:tc>
        <w:tc>
          <w:tcPr>
            <w:shd w:fill="F4F7FA" w:color="F4F7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登录后按轮次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center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shd w:fill="FFFFFF" w:color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邀请宝箱</w:t>
            </w:r>
          </w:p>
        </w:tc>
        <w:tc>
          <w:tcPr>
            <w:shd w:fill="FFFFFF" w:color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/referFriend</w:t>
            </w:r>
          </w:p>
        </w:tc>
        <w:tc>
          <w:tcPr>
            <w:shd w:fill="FFFFFF" w:color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旧版入口可访问</w:t>
            </w:r>
          </w:p>
        </w:tc>
      </w:tr>
      <w:tr>
        <w:tc>
          <w:tcPr>
            <w:shd w:fill="F4F7FA" w:color="F4F7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center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shd w:fill="F4F7FA" w:color="F4F7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每日返水 救济金</w:t>
            </w:r>
          </w:p>
        </w:tc>
        <w:tc>
          <w:tcPr>
            <w:shd w:fill="F4F7FA" w:color="F4F7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/cashBack</w:t>
            </w:r>
          </w:p>
        </w:tc>
        <w:tc>
          <w:tcPr>
            <w:shd w:fill="F4F7FA" w:color="F4F7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旧版入口可访问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center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shd w:fill="FFFFFF" w:color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团队返佣</w:t>
            </w:r>
          </w:p>
        </w:tc>
        <w:tc>
          <w:tcPr>
            <w:shd w:fill="FFFFFF" w:color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/teamRebates</w:t>
            </w:r>
          </w:p>
        </w:tc>
        <w:tc>
          <w:tcPr>
            <w:shd w:fill="FFFFFF" w:color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旧版入口可访问</w:t>
            </w:r>
          </w:p>
        </w:tc>
      </w:tr>
      <w:tr>
        <w:tc>
          <w:tcPr>
            <w:shd w:fill="F4F7FA" w:color="F4F7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center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shd w:fill="F4F7FA" w:color="F4F7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VIP 升级奖励</w:t>
            </w:r>
          </w:p>
        </w:tc>
        <w:tc>
          <w:tcPr>
            <w:shd w:fill="F4F7FA" w:color="F4F7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/signIn</w:t>
            </w:r>
          </w:p>
        </w:tc>
        <w:tc>
          <w:tcPr>
            <w:shd w:fill="F4F7FA" w:color="F4F7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旧版入口可访问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center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shd w:fill="FFFFFF" w:color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VIP 签到</w:t>
            </w:r>
          </w:p>
        </w:tc>
        <w:tc>
          <w:tcPr>
            <w:shd w:fill="FFFFFF" w:color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/vipSignIn</w:t>
            </w:r>
          </w:p>
        </w:tc>
        <w:tc>
          <w:tcPr>
            <w:shd w:fill="FFFFFF" w:color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旧版入口可访问</w:t>
            </w:r>
          </w:p>
        </w:tc>
      </w:tr>
      <w:tr>
        <w:tc>
          <w:tcPr>
            <w:shd w:fill="F4F7FA" w:color="F4F7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center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shd w:fill="F4F7FA" w:color="F4F7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首充优惠</w:t>
            </w:r>
          </w:p>
        </w:tc>
        <w:tc>
          <w:tcPr>
            <w:shd w:fill="F4F7FA" w:color="F4F7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/activityFistRecharge</w:t>
            </w:r>
          </w:p>
        </w:tc>
        <w:tc>
          <w:tcPr>
            <w:shd w:fill="F4F7FA" w:color="F4F7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旧版规则展示页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center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shd w:fill="FFFFFF" w:color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充值优惠</w:t>
            </w:r>
          </w:p>
        </w:tc>
        <w:tc>
          <w:tcPr>
            <w:shd w:fill="FFFFFF" w:color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/activityRecharge</w:t>
            </w:r>
          </w:p>
        </w:tc>
        <w:tc>
          <w:tcPr>
            <w:shd w:fill="FFFFFF" w:color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路由保留 无当前入口</w:t>
            </w:r>
          </w:p>
        </w:tc>
      </w:tr>
      <w:tr>
        <w:tc>
          <w:tcPr>
            <w:shd w:fill="F4F7FA" w:color="F4F7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center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shd w:fill="F4F7FA" w:color="F4F7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合作活动</w:t>
            </w:r>
          </w:p>
        </w:tc>
        <w:tc>
          <w:tcPr>
            <w:shd w:fill="F4F7FA" w:color="F4F7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/activityCooperate</w:t>
            </w:r>
          </w:p>
        </w:tc>
        <w:tc>
          <w:tcPr>
            <w:shd w:fill="F4F7FA" w:color="F4F7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路由保留 无当前入口</w:t>
            </w:r>
          </w:p>
        </w:tc>
      </w:tr>
      <w:tr>
        <w:tc>
          <w:tcPr>
            <w:shd w:fill="FFFFFF" w:color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center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shd w:fill="FFFFFF" w:color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季票</w:t>
            </w:r>
          </w:p>
        </w:tc>
        <w:tc>
          <w:tcPr>
            <w:shd w:fill="FFFFFF" w:color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/seasonPass</w:t>
            </w:r>
          </w:p>
        </w:tc>
        <w:tc>
          <w:tcPr>
            <w:shd w:fill="FFFFFF" w:color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40" w:line="230"/>
              <w:jc w:val="left"/>
            </w:pPr>
            <w:r>
              <w:rPr>
                <w:rFonts w:ascii="Arial Unicode MS" w:cs="Arial Unicode MS" w:eastAsia="Heiti SC" w:hAnsi="Arial Unicode MS"/>
                <w:b w:val="false"/>
                <w:bCs w:val="false"/>
                <w:color w:val="000000"/>
                <w:sz w:val="17"/>
                <w:szCs w:val="17"/>
              </w:rPr>
              <w:t xml:space="preserve">页面保留 未启用</w:t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300"/>
      </w:pPr>
      <w:r>
        <w:t xml:space="preserve">新版活动中心</w:t>
      </w:r>
    </w:p>
    <w:p>
      <w:pPr>
        <w:pStyle w:val="Heading2"/>
        <w:keepNext/>
        <w:spacing w:after="120" w:before="180"/>
      </w:pPr>
      <w:r>
        <w:t xml:space="preserve">1 每日签到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路由或入口：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/dailyCheckIn。活动中心首张横幅；首页登录后的签到弹窗。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当前状态：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启用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用户流程：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进入后读取当月签到列表。当天可领取免费签到；充值资格满足时可领取付费签到。领取后重新拉取列表，奖励记录可按日期查询。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关联接口：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/activity/getSignDaily  /activity/signDaily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主要实现：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src/views/details/activity/dailyCheckIn.vue</w:t>
      </w:r>
    </w:p>
    <w:p>
      <w:pPr>
        <w:pStyle w:val="Heading2"/>
        <w:keepNext/>
        <w:spacing w:after="120" w:before="180"/>
      </w:pPr>
      <w:r>
        <w:t xml:space="preserve">2 新人礼包 首充礼包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路由或入口：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/newbieGift。活动中心 Welcome Bonus 卡片；App 全局首充悬浮入口与弹窗。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当前状态：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按接口可见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用户流程：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初始化读取礼包可见性、购买状态、三日奖励和倒计时。满足条件后按 dayIndex 领取对应日期奖励；支付由礼包支付面板处理。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关联接口：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/promo/newPlayerGiftPackInit  /promo/receiveNewPlayerGiftPack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主要实现：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src/views/details/activity/newbieGift.vue</w:t>
      </w:r>
    </w:p>
    <w:p>
      <w:pPr>
        <w:pStyle w:val="Heading2"/>
        <w:keepNext/>
        <w:spacing w:after="120" w:before="180"/>
      </w:pPr>
      <w:r>
        <w:t xml:space="preserve">3 宝箱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路由或入口：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共享弹窗。活动中心第三张横幅；App 右侧全局悬浮入口。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当前状态：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按接口可见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用户流程：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初始化后展示价格、总价值、奖励列表和倒计时。支付完成或弹窗关闭后重新检查活动状态。旧的独立首充礼包页也复用该初始化数据。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关联接口：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/promo/treasureBoxInit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主要实现：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src/components/TreasureBoxPopup.vue</w:t>
      </w:r>
    </w:p>
    <w:p>
      <w:pPr>
        <w:pStyle w:val="Heading2"/>
        <w:keepNext/>
        <w:spacing w:after="120" w:before="180"/>
      </w:pPr>
      <w:r>
        <w:t xml:space="preserve">4 幸运转盘 邀请奖励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路由或入口：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/luckyReferral。活动中心 Lucky Spin 列表项；首页活动引导弹窗；旧 Bonus 页保留转盘弹窗。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当前状态：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启用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用户流程：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读取累计奖金、抽奖次数、邀请人数、领取状态和最近获奖名单。点击转盘后由接口结果更新数值；达到领取状态可提取累计奖励。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关联接口：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/promo/getLuckyRoulette  /promo/luckyRoulette  /promo/receiveLuckyRouletteBonus  /promo/getLuckyRouletteLatestAwards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主要实现：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src/views/details/activity/luckyReferral.vue</w:t>
      </w:r>
    </w:p>
    <w:p>
      <w:pPr>
        <w:pStyle w:val="Heading2"/>
        <w:keepNext/>
        <w:spacing w:after="120" w:before="180"/>
      </w:pPr>
      <w:r>
        <w:t xml:space="preserve">5 任务中心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路由或入口：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/weeklyMissions。活动中心 Weekly Missions 列表项。页面包含新手、每日、每周三类任务。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当前状态：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启用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用户流程：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先加载新手任务；新手完成后加载每日和每周任务。任务可跳转去完成或领取，积分达到里程碑可额外领取进度奖励。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关联接口：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/promo/taskCenterNewbieInit  /promo/taskCenterDailyInit  /promo/taskCenterWeeklyInit  /promo/claimTaskReward  /promo/claimProgressReward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主要实现：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src/views/details/activity/weeklyMissions.vue</w:t>
      </w:r>
    </w:p>
    <w:p>
      <w:pPr>
        <w:pStyle w:val="Heading1"/>
        <w:keepNext/>
        <w:spacing w:after="120" w:before="300"/>
      </w:pPr>
      <w:r>
        <w:t xml:space="preserve">新版活动中心与旧 Bonus</w:t>
      </w:r>
    </w:p>
    <w:p>
      <w:pPr>
        <w:pStyle w:val="Heading2"/>
        <w:keepNext/>
        <w:spacing w:after="120" w:before="180"/>
      </w:pPr>
      <w:r>
        <w:t xml:space="preserve">6 红包雨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路由或入口：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/redPacket。活动中心有限优惠和更多活动入口；旧 Bonus 页。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当前状态：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登录后按轮次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用户流程：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登录后读取当前轮次与倒计时。活动进行中点击落下红包，达到本轮点击上限后进行结算；可分页查询领取历史。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关联接口：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/activity/redPacket  /activity/getRedPacket  /activity/redPacketReceiveRecord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主要实现：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src/views/details/bonus/redPacket.vue</w:t>
      </w:r>
    </w:p>
    <w:p>
      <w:pPr>
        <w:pStyle w:val="Heading1"/>
        <w:keepNext/>
        <w:spacing w:after="120" w:before="300"/>
      </w:pPr>
      <w:r>
        <w:t xml:space="preserve">旧 Bonus</w:t>
      </w:r>
    </w:p>
    <w:p>
      <w:pPr>
        <w:pStyle w:val="Heading2"/>
        <w:keepNext/>
        <w:spacing w:after="120" w:before="180"/>
      </w:pPr>
      <w:r>
        <w:t xml:space="preserve">7 邀请宝箱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路由或入口：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/referFriend。旧 Bonus 页邀请好友卡片。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当前状态：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旧版入口可访问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用户流程：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登录后读取有效邀请人数与已领宝箱层级。达到档位且尚未领取时可开宝箱；页面同时提供邀请码、分享链接和二维码。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关联接口：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/promo/treasureReceiveInit  /promo/receiveTreasure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主要实现：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src/views/details/bonus/referFriend.vue</w:t>
      </w:r>
    </w:p>
    <w:p>
      <w:pPr>
        <w:pStyle w:val="Heading2"/>
        <w:keepNext/>
        <w:spacing w:after="120" w:before="180"/>
      </w:pPr>
      <w:r>
        <w:t xml:space="preserve">8 每日返水 救济金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路由或入口：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/cashBack。旧 Bonus 页游戏福利卡片。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当前状态：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旧版入口可访问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用户流程：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读取可领取额度、领取状态和比例规则表。仅在状态允许时可领取，成功后刷新当期数据。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关联接口：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/promo/getPromoDailyRelief  /promo/receivePromoReliefAmount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主要实现：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src/views/details/bonus/cashBack.vue</w:t>
      </w:r>
    </w:p>
    <w:p>
      <w:pPr>
        <w:pStyle w:val="Heading2"/>
        <w:keepNext/>
        <w:spacing w:after="120" w:before="180"/>
      </w:pPr>
      <w:r>
        <w:t xml:space="preserve">9 团队返佣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路由或入口：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/teamRebates。旧 Bonus 页团队返佣卡片。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当前状态：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旧版入口可访问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用户流程：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读取当前返佣信息和领取状态。领取成功后重新拉取活动信息；结算金额与资格由服务端决定。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关联接口：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/promo/getTeamRebateInit  /promo/receiveTeamRebateAmount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主要实现：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src/views/details/bonus/teamRebates.vue</w:t>
      </w:r>
    </w:p>
    <w:p>
      <w:pPr>
        <w:pStyle w:val="Heading2"/>
        <w:keepNext/>
        <w:spacing w:after="120" w:before="180"/>
      </w:pPr>
      <w:r>
        <w:t xml:space="preserve">10 VIP 升级奖励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路由或入口：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/signIn。旧 Bonus 页用户等级卡片；活动中心 VIP Club 横幅则跳转 VIP 等级页。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当前状态：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旧版入口可访问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用户流程：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读取当前 VIP 等级、奖励规则表和领取状态。符合资格时可领取，成功后刷新页面数据。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关联接口：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/activity/getVipAwardInit  /activity/getVipAward  /profile/init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主要实现：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src/views/details/bonus/signIn.vue</w:t>
      </w:r>
    </w:p>
    <w:p>
      <w:pPr>
        <w:pStyle w:val="Heading2"/>
        <w:keepNext/>
        <w:spacing w:after="120" w:before="180"/>
      </w:pPr>
      <w:r>
        <w:t xml:space="preserve">11 VIP 签到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路由或入口：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/vipSignIn。旧 Bonus 页神秘活动卡片。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当前状态：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旧版入口可访问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用户流程：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已登录时读取签到规则和可领奖励；满足条件可签到领取，成功后刷新规则与状态。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关联接口：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/activity/getSignIn  /activity/signIn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主要实现：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src/views/details/bonus/vipSignIn.vue</w:t>
      </w:r>
    </w:p>
    <w:p>
      <w:pPr>
        <w:pStyle w:val="Heading1"/>
        <w:keepNext/>
        <w:spacing w:after="120" w:before="300"/>
      </w:pPr>
      <w:r>
        <w:t xml:space="preserve">旧版静态页</w:t>
      </w:r>
    </w:p>
    <w:p>
      <w:pPr>
        <w:pStyle w:val="Heading2"/>
        <w:keepNext/>
        <w:spacing w:after="120" w:before="180"/>
      </w:pPr>
      <w:r>
        <w:t xml:space="preserve">12 首充优惠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路由或入口：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/activityFistRecharge。旧 Bonus 页充值特价卡片；登录活动弹窗也可引导至此。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当前状态：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旧版规则展示页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用户流程：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展示多语言运营规则文案并提供充值按钮。已登录跳转充值页；页面没有活动初始化或领取接口。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关联接口：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无活动领取接口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主要实现：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src/views/details/bonus/activityFistRecharge.vue</w:t>
      </w:r>
    </w:p>
    <w:p>
      <w:pPr>
        <w:pStyle w:val="Heading2"/>
        <w:keepNext/>
        <w:spacing w:after="120" w:before="180"/>
      </w:pPr>
      <w:r>
        <w:t xml:space="preserve">13 充值优惠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路由或入口：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/activityRecharge。当前活动中心和旧 Bonus 列表均未跳转该页。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当前状态：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路由保留 无当前入口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用户流程：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展示 Deposit Benefits 文案并跳转充值页。没有活动初始化、规则计算或领取接口。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关联接口：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无活动领取接口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主要实现：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src/views/details/bonus/activityRecharge.vue</w:t>
      </w:r>
    </w:p>
    <w:p>
      <w:pPr>
        <w:pStyle w:val="Heading2"/>
        <w:keepNext/>
        <w:spacing w:after="120" w:before="180"/>
      </w:pPr>
      <w:r>
        <w:t xml:space="preserve">14 合作活动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路由或入口：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/activityCooperate。当前活动中心和旧 Bonus 列表均未跳转该页。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当前状态：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路由保留 无当前入口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用户流程：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展示合作说明并跳转 Telegram 外链。动态客服链接逻辑仍保留在代码中，但当前未启用。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关联接口：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/getCsLink 可选 当前未调用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主要实现：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src/views/details/bonus/activityCooperate.vue</w:t>
      </w:r>
    </w:p>
    <w:p>
      <w:pPr>
        <w:pStyle w:val="Heading1"/>
        <w:keepNext/>
        <w:spacing w:after="120" w:before="300"/>
      </w:pPr>
      <w:r>
        <w:t xml:space="preserve">未启用原型</w:t>
      </w:r>
    </w:p>
    <w:p>
      <w:pPr>
        <w:pStyle w:val="Heading2"/>
        <w:keepNext/>
        <w:spacing w:after="120" w:before="180"/>
      </w:pPr>
      <w:r>
        <w:t xml:space="preserve">15 季票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路由或入口：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/seasonPass。路由存在，但活动中心季票卡片模板已注释。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当前状态：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页面保留 未启用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用户流程：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页面展示经验进度、三条奖励轨、升级和历史入口。当前使用组件内演示数据，领取仅提示，不调用服务端。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关联接口：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无活动接口</w:t>
      </w:r>
    </w:p>
    <w:p>
      <w:pPr>
        <w:spacing w:after="90" w:line="280"/>
      </w:pPr>
      <w:r>
        <w:rPr>
          <w:rFonts w:ascii="Arial Unicode MS" w:cs="Arial Unicode MS" w:eastAsia="Heiti SC" w:hAnsi="Arial Unicode MS"/>
          <w:b/>
          <w:bCs/>
          <w:color w:val="000000"/>
          <w:sz w:val="20"/>
          <w:szCs w:val="20"/>
        </w:rPr>
        <w:t xml:space="preserve">主要实现：</w:t>
      </w:r>
      <w:r>
        <w:rPr>
          <w:rFonts w:ascii="Arial Unicode MS" w:cs="Arial Unicode MS" w:eastAsia="Heiti SC" w:hAnsi="Arial Unicode MS"/>
          <w:color w:val="222222"/>
          <w:sz w:val="20"/>
          <w:szCs w:val="20"/>
        </w:rPr>
        <w:t xml:space="preserve">src/views/details/activity/seasonPass.vue</w:t>
      </w:r>
    </w:p>
    <w:p>
      <w:r>
        <w:br w:type="page"/>
      </w:r>
    </w:p>
    <w:p>
      <w:pPr>
        <w:pStyle w:val="Heading1"/>
        <w:keepNext/>
        <w:spacing w:after="120" w:before="300"/>
      </w:pPr>
      <w:r>
        <w:t xml:space="preserve">维护说明</w:t>
      </w:r>
    </w:p>
    <w:p>
      <w:pPr>
        <w:spacing w:after="110" w:line="290"/>
      </w:pPr>
      <w:r>
        <w:rPr>
          <w:rFonts w:ascii="Arial Unicode MS" w:cs="Arial Unicode MS" w:eastAsia="Heiti SC" w:hAnsi="Arial Unicode MS"/>
          <w:color w:val="222222"/>
          <w:sz w:val="21"/>
          <w:szCs w:val="21"/>
        </w:rPr>
        <w:t xml:space="preserve">新版活动中心路由为 /activity。除特别处理的红包雨外，未登录用户点击活动卡片会先进入登录流程。新版活动页会记录进入和离开事件，用于活动面板统计，该统计不参与奖励结算。</w:t>
      </w:r>
    </w:p>
    <w:p>
      <w:pPr>
        <w:spacing w:after="110" w:line="290"/>
      </w:pPr>
      <w:r>
        <w:rPr>
          <w:rFonts w:ascii="Arial Unicode MS" w:cs="Arial Unicode MS" w:eastAsia="Heiti SC" w:hAnsi="Arial Unicode MS"/>
          <w:color w:val="222222"/>
          <w:sz w:val="21"/>
          <w:szCs w:val="21"/>
        </w:rPr>
        <w:t xml:space="preserve">重复入口已在本报告内合并说明：新人礼包在全局中被标为首充活动，但实际使用 newPlayerGiftPack 接口；红包雨的新旧入口共用 /redPacket；幸运转盘在旧 Bonus 页面可弹窗展示，在新版使用独立详情页。</w:t>
      </w:r>
    </w:p>
    <w:p>
      <w:pPr>
        <w:spacing w:after="110" w:line="290"/>
      </w:pPr>
      <w:r>
        <w:rPr>
          <w:rFonts w:ascii="Arial Unicode MS" w:cs="Arial Unicode MS" w:eastAsia="Heiti SC" w:hAnsi="Arial Unicode MS"/>
          <w:color w:val="222222"/>
          <w:sz w:val="21"/>
          <w:szCs w:val="21"/>
        </w:rPr>
        <w:t xml:space="preserve">若需运营侧正式活动规则，应以服务端活动配置、接口字段定义和多语言文案为准。对于无活动接口的旧版静态页或季票原型，上线前需要确认结算逻辑、充值路由和接口契约。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 Unicode MS" w:cs="Arial Unicode MS" w:eastAsia="Heiti SC" w:hAnsi="Arial Unicode MS"/>
        <w:color w:val="666666"/>
        <w:sz w:val="16"/>
        <w:szCs w:val="16"/>
      </w:rPr>
      <w:t xml:space="preserve">项目活动汇总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Heiti SC" w:hAnsi="Arial Unicode MS"/>
        <w:color w:val="222222"/>
        <w:sz w:val="21"/>
        <w:szCs w:val="21"/>
      </w:rPr>
    </w:rPrDefault>
    <w:pPrDefault>
      <w:pPr>
        <w:spacing w:after="100"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80"/>
      <w:jc w:val="center"/>
    </w:pPr>
    <w:rPr>
      <w:rFonts w:ascii="Arial Unicode MS" w:cs="Arial Unicode MS" w:eastAsia="Heiti SC" w:hAnsi="Arial Unicode MS"/>
      <w:b/>
      <w:bCs/>
      <w:color w:val="000000"/>
      <w:sz w:val="40"/>
      <w:szCs w:val="40"/>
    </w:rPr>
  </w:style>
  <w:style w:type="paragraph" w:styleId="Heading1">
    <w:name w:val="Heading 1"/>
    <w:basedOn w:val="Normal"/>
    <w:next w:val="Normal"/>
    <w:pPr>
      <w:keepNext/>
      <w:spacing w:after="130" w:before="300"/>
    </w:pPr>
    <w:rPr>
      <w:rFonts w:ascii="Arial Unicode MS" w:cs="Arial Unicode MS" w:eastAsia="Heiti SC" w:hAnsi="Arial Unicode MS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pPr>
      <w:keepNext/>
      <w:spacing w:after="100" w:before="220"/>
    </w:pPr>
    <w:rPr>
      <w:rFonts w:ascii="Arial Unicode MS" w:cs="Arial Unicode MS" w:eastAsia="Heiti SC" w:hAnsi="Arial Unicode MS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项目活动汇总</dc:title>
  <dc:creator>Codex</dc:creator>
  <dc:description>项目活动入口、流程、接口与启用状态汇总</dc:description>
  <cp:lastModifiedBy>Un-named</cp:lastModifiedBy>
  <cp:revision>1</cp:revision>
  <dcterms:created xsi:type="dcterms:W3CDTF">2026-09-22T03:36:59.003Z</dcterms:created>
  <dcterms:modified xsi:type="dcterms:W3CDTF">2026-09-22T03:36:59.009Z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