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纯按键病床分机TH-31AJBC</w:t>
      </w:r>
    </w:p>
    <w:p>
      <w:pPr>
        <w:jc w:val="center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drawing>
          <wp:inline distT="0" distB="0" distL="114300" distR="114300">
            <wp:extent cx="3986530" cy="281559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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产品概述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智慧医疗医护对讲系统病床分机，适用于各类病房，位于各个病床边，便于患者和医护人员操作。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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功能特点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嵌入式结构设计，符合现代化设计理念，十分美观大方。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具有“到达”、“完成”、“增援”、“呼叫”、“换药”等医患操作键，简单明了，易于操作。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支持与医护主机进行双向对讲。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具有病床信息显示屏接口，可选配接入七寸床位显示屏，显示床位信息。</w:t>
      </w:r>
    </w:p>
    <w:p>
      <w:pPr>
        <w:numPr>
          <w:ilvl w:val="0"/>
          <w:numId w:val="1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具有两路COM接口，可接入音频转发器，以及级联其他病床分机。</w:t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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各部名称及功能</w:t>
      </w:r>
    </w:p>
    <w:p>
      <w:pPr>
        <w:pStyle w:val="2"/>
        <w:ind w:left="0" w:leftChars="0" w:firstLine="0" w:firstLineChars="0"/>
        <w:jc w:val="center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drawing>
          <wp:inline distT="0" distB="0" distL="114300" distR="114300">
            <wp:extent cx="3257550" cy="2300605"/>
            <wp:effectExtent l="0" t="0" r="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bCs/>
          <w:sz w:val="28"/>
          <w:szCs w:val="28"/>
          <w:lang w:eastAsia="zh-CN"/>
        </w:rPr>
        <w:drawing>
          <wp:inline distT="0" distB="0" distL="114300" distR="114300">
            <wp:extent cx="2296795" cy="3258185"/>
            <wp:effectExtent l="0" t="0" r="8255" b="18415"/>
            <wp:docPr id="8" name="图片 5" descr="lQLPJxbZwj0sCIvNAtzNAgSwNXUUDHjzNyIDZdecjUBAAA_516_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lQLPJxbZwj0sCIvNAtzNAgSwNXUUDHjzNyIDZdecjUBAAA_516_7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>面板到达、完成、增援键：医护人员主操作功能键；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 xml:space="preserve">手柄呼叫、换药键：患者或家属主操作功能键；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 xml:space="preserve">手柄侧方按键：晚间辅助照明灯开关；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 xml:space="preserve">MATCHING SWITCH：终端匹配电阻开关；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>ADDRESS CODE（H→L）：病床分机地址编号:0000~1111，默认1111；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</w:pP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>485接口：接TH-3107BC病床分机（七寸屏）进行通讯操作，同时提供供电。</w:t>
      </w:r>
    </w:p>
    <w:p>
      <w:pPr>
        <w:pStyle w:val="2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231F20"/>
          <w:kern w:val="0"/>
          <w:sz w:val="26"/>
          <w:szCs w:val="26"/>
          <w:lang w:val="en-US" w:eastAsia="zh-CN" w:bidi="ar"/>
        </w:rPr>
      </w:pPr>
      <w:r>
        <w:rPr>
          <w:rFonts w:ascii="新宋体" w:hAnsi="新宋体" w:eastAsia="新宋体" w:cs="新宋体"/>
          <w:color w:val="000000"/>
          <w:kern w:val="0"/>
          <w:sz w:val="26"/>
          <w:szCs w:val="26"/>
          <w:lang w:val="en-US" w:eastAsia="zh-CN" w:bidi="ar"/>
        </w:rPr>
        <w:t xml:space="preserve">■ </w:t>
      </w:r>
      <w:r>
        <w:rPr>
          <w:rFonts w:hint="eastAsia" w:ascii="新宋体" w:hAnsi="新宋体" w:eastAsia="新宋体" w:cs="新宋体"/>
          <w:color w:val="231F20"/>
          <w:kern w:val="0"/>
          <w:sz w:val="26"/>
          <w:szCs w:val="26"/>
          <w:lang w:val="en-US" w:eastAsia="zh-CN" w:bidi="ar"/>
        </w:rPr>
        <w:t xml:space="preserve">终端配置操作说明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此设备需要接入音频转器，才能正常工作。同时需要对同一个音频转发器，分别进行编号ADDRESS CODE：0000~1111。出厂默认编号为：1111，如下图所示：</w:t>
      </w:r>
    </w:p>
    <w:p>
      <w:pPr>
        <w:pStyle w:val="2"/>
        <w:numPr>
          <w:ilvl w:val="0"/>
          <w:numId w:val="0"/>
        </w:numPr>
        <w:jc w:val="center"/>
      </w:pPr>
      <w:r>
        <w:rPr>
          <w:rFonts w:hint="eastAsia" w:eastAsia="宋体"/>
          <w:b/>
          <w:bCs/>
          <w:sz w:val="28"/>
          <w:szCs w:val="28"/>
          <w:lang w:eastAsia="zh-CN"/>
        </w:rPr>
        <w:drawing>
          <wp:inline distT="0" distB="0" distL="114300" distR="114300">
            <wp:extent cx="2073275" cy="2941320"/>
            <wp:effectExtent l="0" t="0" r="3175" b="11430"/>
            <wp:docPr id="9" name="图片 5" descr="lQLPJxbZwj0sCIvNAtzNAgSwNXUUDHjzNyIDZdecjUBAAA_516_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lQLPJxbZwj0sCIvNAtzNAgSwNXUUDHjzNyIDZdecjUBAAA_516_7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终端匹配电阻的使用：</w:t>
      </w:r>
    </w:p>
    <w:p>
      <w:pPr>
        <w:pStyle w:val="2"/>
        <w:numPr>
          <w:ilvl w:val="0"/>
          <w:numId w:val="0"/>
        </w:numPr>
        <w:ind w:left="630" w:leftChars="1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“MATCHING SWITCH”为终端匹配电阻开关，将两个拔码均拔至“ON”位置即接</w:t>
      </w:r>
    </w:p>
    <w:p>
      <w:pPr>
        <w:pStyle w:val="2"/>
        <w:numPr>
          <w:ilvl w:val="0"/>
          <w:numId w:val="0"/>
        </w:numPr>
        <w:ind w:left="630" w:leftChars="100" w:hanging="420" w:hanging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入匹配电阻。匹配电阻阻值为120欧，默认处于“OFF”位置，如下图所示：</w:t>
      </w:r>
    </w:p>
    <w:p>
      <w:pPr>
        <w:pStyle w:val="2"/>
        <w:numPr>
          <w:ilvl w:val="0"/>
          <w:numId w:val="0"/>
        </w:numPr>
        <w:ind w:leftChars="300"/>
        <w:jc w:val="center"/>
      </w:pPr>
      <w:r>
        <w:rPr>
          <w:rFonts w:hint="eastAsia" w:eastAsia="宋体"/>
          <w:b/>
          <w:bCs/>
          <w:sz w:val="28"/>
          <w:szCs w:val="28"/>
          <w:lang w:eastAsia="zh-CN"/>
        </w:rPr>
        <w:drawing>
          <wp:inline distT="0" distB="0" distL="114300" distR="114300">
            <wp:extent cx="2073275" cy="2941320"/>
            <wp:effectExtent l="0" t="0" r="3175" b="11430"/>
            <wp:docPr id="10" name="图片 5" descr="lQLPJxbZwj0sCIvNAtzNAgSwNXUUDHjzNyIDZdecjUBAAA_516_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lQLPJxbZwj0sCIvNAtzNAgSwNXUUDHjzNyIDZdecjUBAAA_516_7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3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pStyle w:val="2"/>
        <w:numPr>
          <w:ilvl w:val="0"/>
          <w:numId w:val="3"/>
        </w:numPr>
        <w:ind w:leftChars="3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在短距离传输时不需打开终端电阻开关，即一般在100米以下不需匹配电阻。</w:t>
      </w:r>
    </w:p>
    <w:p>
      <w:pPr>
        <w:pStyle w:val="2"/>
        <w:numPr>
          <w:ilvl w:val="0"/>
          <w:numId w:val="3"/>
        </w:numPr>
        <w:ind w:leftChars="30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传输距离超过300米或传输受到干扰时，将同一总线中最后一台设备的终端电阻开关打开即可。</w:t>
      </w:r>
    </w:p>
    <w:p>
      <w:pPr>
        <w:pStyle w:val="2"/>
        <w:numPr>
          <w:ilvl w:val="0"/>
          <w:numId w:val="2"/>
        </w:numPr>
        <w:ind w:left="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485接口使用：</w:t>
      </w:r>
    </w:p>
    <w:p>
      <w:pPr>
        <w:pStyle w:val="2"/>
        <w:numPr>
          <w:ilvl w:val="0"/>
          <w:numId w:val="0"/>
        </w:numPr>
        <w:ind w:leftChars="10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485接口用于连接七寸屏病床分机（选配），按照丝印标识“VOUT</w:t>
      </w: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>→VIN</w:t>
      </w:r>
      <w:r>
        <w:rPr>
          <w:rFonts w:hint="eastAsia"/>
          <w:lang w:val="en-US" w:eastAsia="zh-CN"/>
        </w:rPr>
        <w:t>”、“A</w:t>
      </w: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>→A</w:t>
      </w:r>
      <w:r>
        <w:rPr>
          <w:rFonts w:hint="eastAsia"/>
          <w:lang w:val="en-US" w:eastAsia="zh-CN"/>
        </w:rPr>
        <w:t>”、“B</w:t>
      </w: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>→B</w:t>
      </w:r>
      <w:r>
        <w:rPr>
          <w:rFonts w:hint="eastAsia"/>
          <w:lang w:val="en-US" w:eastAsia="zh-CN"/>
        </w:rPr>
        <w:t>”、“GND</w:t>
      </w:r>
      <w:r>
        <w:rPr>
          <w:rFonts w:hint="eastAsia" w:ascii="新宋体" w:hAnsi="新宋体" w:eastAsia="新宋体" w:cs="新宋体"/>
          <w:color w:val="231F20"/>
          <w:kern w:val="0"/>
          <w:sz w:val="19"/>
          <w:szCs w:val="19"/>
          <w:lang w:val="en-US" w:eastAsia="zh-CN" w:bidi="ar"/>
        </w:rPr>
        <w:t>→GND</w:t>
      </w:r>
      <w:r>
        <w:rPr>
          <w:rFonts w:hint="eastAsia"/>
          <w:lang w:val="en-US" w:eastAsia="zh-CN"/>
        </w:rPr>
        <w:t>”对应连接即可。</w:t>
      </w:r>
    </w:p>
    <w:p>
      <w:pPr>
        <w:pStyle w:val="2"/>
        <w:ind w:left="0" w:leftChars="0" w:firstLine="0" w:firstLineChars="0"/>
        <w:rPr>
          <w:rFonts w:hint="default"/>
          <w:lang w:val="en-US"/>
        </w:rPr>
      </w:pPr>
      <w:r>
        <w:rPr>
          <w:rFonts w:ascii="新宋体" w:hAnsi="新宋体" w:eastAsia="新宋体" w:cs="新宋体"/>
          <w:color w:val="000000"/>
          <w:kern w:val="0"/>
          <w:sz w:val="26"/>
          <w:szCs w:val="26"/>
          <w:lang w:val="en-US" w:eastAsia="zh-CN" w:bidi="ar"/>
        </w:rPr>
        <w:t xml:space="preserve">■ </w:t>
      </w:r>
      <w:r>
        <w:rPr>
          <w:rFonts w:hint="eastAsia" w:ascii="新宋体" w:hAnsi="新宋体" w:eastAsia="新宋体" w:cs="新宋体"/>
          <w:color w:val="231F20"/>
          <w:kern w:val="0"/>
          <w:sz w:val="26"/>
          <w:szCs w:val="26"/>
          <w:lang w:val="en-US" w:eastAsia="zh-CN" w:bidi="ar"/>
        </w:rPr>
        <w:t>性能参数</w:t>
      </w:r>
    </w:p>
    <w:tbl>
      <w:tblPr>
        <w:tblStyle w:val="5"/>
        <w:tblpPr w:leftFromText="180" w:rightFromText="180" w:vertAnchor="text" w:horzAnchor="page" w:tblpX="1567" w:tblpY="49"/>
        <w:tblOverlap w:val="never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5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</w:rPr>
              <w:t>型号</w:t>
            </w:r>
          </w:p>
        </w:tc>
        <w:tc>
          <w:tcPr>
            <w:tcW w:w="5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TH-31AJBC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COM接口</w:t>
            </w:r>
          </w:p>
        </w:tc>
        <w:tc>
          <w:tcPr>
            <w:tcW w:w="5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两个COM口，接上级设备以及级联其他分机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MIC灵敏度</w:t>
            </w:r>
          </w:p>
        </w:tc>
        <w:tc>
          <w:tcPr>
            <w:tcW w:w="5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-40dB(1KHz，0dB=1V/uBar</w:t>
            </w:r>
            <w:bookmarkStart w:id="0" w:name="_GoBack"/>
            <w:bookmarkEnd w:id="0"/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工作温度</w:t>
            </w:r>
          </w:p>
        </w:tc>
        <w:tc>
          <w:tcPr>
            <w:tcW w:w="5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-10℃~+</w:t>
            </w:r>
            <w:r>
              <w:rPr>
                <w:rFonts w:hint="eastAsia" w:ascii="Calibri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工作湿度</w:t>
            </w:r>
          </w:p>
        </w:tc>
        <w:tc>
          <w:tcPr>
            <w:tcW w:w="5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20%～80%相对湿度，无结露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整机功耗</w:t>
            </w:r>
          </w:p>
        </w:tc>
        <w:tc>
          <w:tcPr>
            <w:tcW w:w="5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≤</w:t>
            </w: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电源</w:t>
            </w:r>
          </w:p>
        </w:tc>
        <w:tc>
          <w:tcPr>
            <w:tcW w:w="5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由上级设备提供供电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val="en-US" w:eastAsia="zh-CN"/>
              </w:rPr>
              <w:t>尺寸</w:t>
            </w:r>
          </w:p>
        </w:tc>
        <w:tc>
          <w:tcPr>
            <w:tcW w:w="5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面板：86mm（L）×86mm（W）×56mm(H)；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Times New Roman" w:eastAsia="宋体" w:cs="Times New Roman"/>
                <w:sz w:val="24"/>
                <w:szCs w:val="24"/>
                <w:lang w:val="en-US" w:eastAsia="zh-CN"/>
              </w:rPr>
              <w:t>手柄：73.36mm（L）×58.65mm（W）×22.31mm(H)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Times New Roman" w:eastAsia="宋体" w:cs="Times New Roman"/>
                <w:sz w:val="24"/>
                <w:szCs w:val="24"/>
                <w:lang w:eastAsia="zh-CN"/>
              </w:rPr>
              <w:t>净重</w:t>
            </w:r>
          </w:p>
        </w:tc>
        <w:tc>
          <w:tcPr>
            <w:tcW w:w="5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eastAsia="宋体" w:cs="Times New Roman"/>
                <w:sz w:val="24"/>
                <w:szCs w:val="24"/>
                <w:lang w:val="en-US" w:eastAsia="zh-CN"/>
              </w:rPr>
              <w:t>安装方式</w:t>
            </w:r>
          </w:p>
        </w:tc>
        <w:tc>
          <w:tcPr>
            <w:tcW w:w="585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eastAsia" w:ascii="Calibri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eastAsia="宋体" w:cs="Times New Roman"/>
                <w:sz w:val="24"/>
                <w:szCs w:val="24"/>
                <w:lang w:val="en-US" w:eastAsia="zh-CN"/>
              </w:rPr>
              <w:t>嵌入式</w:t>
            </w:r>
          </w:p>
        </w:tc>
      </w:tr>
    </w:tbl>
    <w:p/>
    <w:p>
      <w:pPr>
        <w:pStyle w:val="2"/>
        <w:ind w:left="0" w:leftChars="0" w:firstLine="0" w:firstLineChars="0"/>
        <w:rPr>
          <w:rFonts w:hint="default"/>
          <w:lang w:val="en-US"/>
        </w:rPr>
      </w:pPr>
      <w:r>
        <w:rPr>
          <w:rFonts w:ascii="新宋体" w:hAnsi="新宋体" w:eastAsia="新宋体" w:cs="新宋体"/>
          <w:color w:val="000000"/>
          <w:kern w:val="0"/>
          <w:sz w:val="26"/>
          <w:szCs w:val="26"/>
          <w:lang w:val="en-US" w:eastAsia="zh-CN" w:bidi="ar"/>
        </w:rPr>
        <w:t xml:space="preserve">■ </w:t>
      </w:r>
      <w:r>
        <w:rPr>
          <w:rFonts w:hint="eastAsia" w:ascii="新宋体" w:hAnsi="新宋体" w:eastAsia="新宋体" w:cs="新宋体"/>
          <w:color w:val="231F20"/>
          <w:kern w:val="0"/>
          <w:sz w:val="26"/>
          <w:szCs w:val="26"/>
          <w:lang w:val="en-US" w:eastAsia="zh-CN" w:bidi="ar"/>
        </w:rPr>
        <w:t>安装方法</w:t>
      </w: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777490"/>
            <wp:effectExtent l="0" t="0" r="1333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767770"/>
    <w:multiLevelType w:val="singleLevel"/>
    <w:tmpl w:val="547677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75AC64"/>
    <w:multiLevelType w:val="singleLevel"/>
    <w:tmpl w:val="7675AC6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FCE43A0"/>
    <w:multiLevelType w:val="singleLevel"/>
    <w:tmpl w:val="7FCE43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0ZmI0MThkZjVmYjJhYjllODg3MTE4Nzk0MDdmNjIifQ=="/>
  </w:docVars>
  <w:rsids>
    <w:rsidRoot w:val="06364A45"/>
    <w:rsid w:val="06364A45"/>
    <w:rsid w:val="068C23FB"/>
    <w:rsid w:val="0EC2163C"/>
    <w:rsid w:val="16404D1A"/>
    <w:rsid w:val="1AB570BD"/>
    <w:rsid w:val="20F6337C"/>
    <w:rsid w:val="338A6BD6"/>
    <w:rsid w:val="39FD1880"/>
    <w:rsid w:val="3EBA174E"/>
    <w:rsid w:val="3FEC7296"/>
    <w:rsid w:val="41BA651D"/>
    <w:rsid w:val="425F1BAB"/>
    <w:rsid w:val="450377E3"/>
    <w:rsid w:val="45FB6FE8"/>
    <w:rsid w:val="460E2907"/>
    <w:rsid w:val="4674757D"/>
    <w:rsid w:val="4ADA0199"/>
    <w:rsid w:val="55420547"/>
    <w:rsid w:val="57713ADB"/>
    <w:rsid w:val="5798181D"/>
    <w:rsid w:val="5A821E11"/>
    <w:rsid w:val="5D0B2591"/>
    <w:rsid w:val="5DDC4444"/>
    <w:rsid w:val="62F1203A"/>
    <w:rsid w:val="669D6277"/>
    <w:rsid w:val="68BE1F31"/>
    <w:rsid w:val="69670824"/>
    <w:rsid w:val="6F4F630E"/>
    <w:rsid w:val="7759489F"/>
    <w:rsid w:val="7C380A99"/>
    <w:rsid w:val="7C6F4493"/>
    <w:rsid w:val="7EE10F4C"/>
    <w:rsid w:val="7F211349"/>
    <w:rsid w:val="7F49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widowControl w:val="0"/>
      <w:spacing w:after="120" w:line="240" w:lineRule="auto"/>
      <w:ind w:firstLine="420" w:firstLineChars="10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Body Text"/>
    <w:basedOn w:val="1"/>
    <w:next w:val="1"/>
    <w:qFormat/>
    <w:uiPriority w:val="0"/>
    <w:pPr>
      <w:widowControl/>
      <w:spacing w:line="360" w:lineRule="auto"/>
      <w:ind w:firstLine="454"/>
      <w:jc w:val="left"/>
    </w:pPr>
    <w:rPr>
      <w:kern w:val="0"/>
      <w:szCs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723</Words>
  <Characters>892</Characters>
  <Lines>0</Lines>
  <Paragraphs>0</Paragraphs>
  <TotalTime>1</TotalTime>
  <ScaleCrop>false</ScaleCrop>
  <LinksUpToDate>false</LinksUpToDate>
  <CharactersWithSpaces>913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2022-11-04T11:54:00Z</dcterms:created>
  <dc:creator>YangJL</dc:creator>
  <cp:lastModifiedBy>YangJL</cp:lastModifiedBy>
  <dcterms:modified xsi:type="dcterms:W3CDTF">2022-11-15T09:23:45Z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B0B0594B12D54120A268BE0B0391BC75</vt:lpwstr>
  </property>
</Properties>
</file>