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hint="eastAsia" w:asciiTheme="minorEastAsia" w:hAnsiTheme="minorEastAsia" w:cstheme="minorEastAsia"/>
          <w:b/>
          <w:bCs/>
          <w:sz w:val="36"/>
          <w:szCs w:val="36"/>
          <w:lang w:val="en-US" w:eastAsia="zh-CN"/>
        </w:rPr>
        <w:t>紧急按钮TH-31AN</w:t>
      </w:r>
    </w:p>
    <w:p>
      <w:pPr>
        <w:jc w:val="center"/>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4029075" cy="5619750"/>
            <wp:effectExtent l="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029075" cy="5619750"/>
                    </a:xfrm>
                    <a:prstGeom prst="rect">
                      <a:avLst/>
                    </a:prstGeom>
                  </pic:spPr>
                </pic:pic>
              </a:graphicData>
            </a:graphic>
          </wp:inline>
        </w:drawing>
      </w:r>
    </w:p>
    <w:p>
      <w:pPr>
        <w:keepNext w:val="0"/>
        <w:keepLines w:val="0"/>
        <w:widowControl/>
        <w:suppressLineNumbers w:val="0"/>
        <w:jc w:val="left"/>
      </w:pPr>
      <w:r>
        <w:rPr>
          <w:rFonts w:ascii="Wingdings" w:hAnsi="Wingdings" w:eastAsia="宋体" w:cs="Wingding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产品概述 </w:t>
      </w:r>
    </w:p>
    <w:p>
      <w:pPr>
        <w:keepNext w:val="0"/>
        <w:keepLines w:val="0"/>
        <w:widowControl/>
        <w:suppressLineNumbers w:val="0"/>
        <w:ind w:firstLine="480" w:firstLineChars="200"/>
        <w:jc w:val="left"/>
        <w:rPr>
          <w:rFonts w:ascii="Wingdings" w:hAnsi="Wingdings" w:eastAsia="宋体" w:cs="Wingding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智慧医疗医护对讲系统告警门灯，用于连接音频数据交换机接收到病房内的告警信息会以对应颜色或闪烁频率的灯光显示。</w:t>
      </w:r>
    </w:p>
    <w:p>
      <w:pPr>
        <w:keepNext w:val="0"/>
        <w:keepLines w:val="0"/>
        <w:widowControl/>
        <w:suppressLineNumbers w:val="0"/>
        <w:jc w:val="left"/>
      </w:pPr>
      <w:r>
        <w:rPr>
          <w:rFonts w:ascii="Wingdings" w:hAnsi="Wingdings" w:eastAsia="宋体" w:cs="Wingding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功能特点</w:t>
      </w: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轻便，简单适用大部分安装场景需求。</w:t>
      </w: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可提供多种颜色灯光进行信息提醒。</w:t>
      </w:r>
    </w:p>
    <w:p>
      <w:pPr>
        <w:jc w:val="both"/>
        <w:rPr>
          <w:rFonts w:hint="eastAsia" w:ascii="宋体" w:hAnsi="宋体" w:eastAsia="宋体" w:cs="宋体"/>
          <w:b/>
          <w:bCs/>
          <w:color w:val="0000FF"/>
          <w:lang w:val="en-US" w:eastAsia="zh-CN"/>
        </w:rPr>
      </w:pPr>
    </w:p>
    <w:p>
      <w:pPr>
        <w:keepNext w:val="0"/>
        <w:keepLines w:val="0"/>
        <w:widowControl/>
        <w:suppressLineNumbers w:val="0"/>
        <w:jc w:val="left"/>
        <w:rPr>
          <w:rFonts w:ascii="Wingdings" w:hAnsi="Wingdings" w:eastAsia="宋体" w:cs="Wingdings"/>
          <w:color w:val="000000"/>
          <w:kern w:val="0"/>
          <w:sz w:val="28"/>
          <w:szCs w:val="28"/>
          <w:lang w:val="en-US" w:eastAsia="zh-CN" w:bidi="ar"/>
        </w:rPr>
      </w:pPr>
    </w:p>
    <w:p>
      <w:pPr>
        <w:keepNext w:val="0"/>
        <w:keepLines w:val="0"/>
        <w:widowControl/>
        <w:suppressLineNumbers w:val="0"/>
        <w:jc w:val="left"/>
        <w:rPr>
          <w:rFonts w:ascii="Wingdings" w:hAnsi="Wingdings" w:eastAsia="宋体" w:cs="Wingdings"/>
          <w:color w:val="000000"/>
          <w:kern w:val="0"/>
          <w:sz w:val="28"/>
          <w:szCs w:val="28"/>
          <w:lang w:val="en-US" w:eastAsia="zh-CN" w:bidi="ar"/>
        </w:rPr>
      </w:pPr>
    </w:p>
    <w:p>
      <w:pPr>
        <w:keepNext w:val="0"/>
        <w:keepLines w:val="0"/>
        <w:widowControl/>
        <w:suppressLineNumbers w:val="0"/>
        <w:jc w:val="left"/>
        <w:rPr>
          <w:rFonts w:ascii="Wingdings" w:hAnsi="Wingdings" w:eastAsia="宋体" w:cs="Wingdings"/>
          <w:color w:val="000000"/>
          <w:kern w:val="0"/>
          <w:sz w:val="28"/>
          <w:szCs w:val="28"/>
          <w:lang w:val="en-US" w:eastAsia="zh-CN" w:bidi="ar"/>
        </w:rPr>
      </w:pPr>
    </w:p>
    <w:p>
      <w:pPr>
        <w:keepNext w:val="0"/>
        <w:keepLines w:val="0"/>
        <w:widowControl/>
        <w:suppressLineNumbers w:val="0"/>
        <w:jc w:val="left"/>
        <w:rPr>
          <w:rFonts w:ascii="Wingdings" w:hAnsi="Wingdings" w:eastAsia="宋体" w:cs="Wingding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ascii="Wingdings" w:hAnsi="Wingdings" w:eastAsia="宋体" w:cs="Wingding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各部名称及功能</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1、需将紧急按钮引出的公座插入音频数据交换机对应插口</w:t>
      </w:r>
      <w:bookmarkStart w:id="0" w:name="_GoBack"/>
      <w:bookmarkEnd w:id="0"/>
      <w:r>
        <w:rPr>
          <w:rFonts w:hint="eastAsia" w:ascii="宋体" w:hAnsi="宋体" w:eastAsia="宋体" w:cs="宋体"/>
          <w:color w:val="000000"/>
          <w:kern w:val="0"/>
          <w:sz w:val="24"/>
          <w:szCs w:val="24"/>
          <w:lang w:val="en-US" w:eastAsia="zh-CN" w:bidi="ar"/>
        </w:rPr>
        <w:t>如图：</w:t>
      </w:r>
      <w:r>
        <w:drawing>
          <wp:inline distT="0" distB="0" distL="114300" distR="114300">
            <wp:extent cx="5270500" cy="1406525"/>
            <wp:effectExtent l="0" t="0" r="635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1406525"/>
                    </a:xfrm>
                    <a:prstGeom prst="rect">
                      <a:avLst/>
                    </a:prstGeom>
                    <a:noFill/>
                    <a:ln>
                      <a:noFill/>
                    </a:ln>
                  </pic:spPr>
                </pic:pic>
              </a:graphicData>
            </a:graphic>
          </wp:inline>
        </w:drawing>
      </w:r>
    </w:p>
    <w:p>
      <w:pPr>
        <w:keepNext w:val="0"/>
        <w:keepLines w:val="0"/>
        <w:widowControl/>
        <w:suppressLineNumbers w:val="0"/>
        <w:jc w:val="left"/>
      </w:pPr>
    </w:p>
    <w:p>
      <w:pPr>
        <w:pStyle w:val="3"/>
        <w:ind w:left="0" w:leftChars="0" w:firstLine="0" w:firstLineChars="0"/>
        <w:rPr>
          <w:rFonts w:hint="default"/>
          <w:lang w:val="en-US"/>
        </w:rPr>
      </w:pPr>
      <w:r>
        <w:rPr>
          <w:rFonts w:ascii="新宋体" w:hAnsi="新宋体" w:eastAsia="新宋体" w:cs="新宋体"/>
          <w:color w:val="000000"/>
          <w:kern w:val="0"/>
          <w:sz w:val="26"/>
          <w:szCs w:val="26"/>
          <w:lang w:val="en-US" w:eastAsia="zh-CN" w:bidi="ar"/>
        </w:rPr>
        <w:t xml:space="preserve">■ </w:t>
      </w:r>
      <w:r>
        <w:rPr>
          <w:rFonts w:hint="eastAsia" w:ascii="新宋体" w:hAnsi="新宋体" w:eastAsia="新宋体" w:cs="新宋体"/>
          <w:color w:val="231F20"/>
          <w:kern w:val="0"/>
          <w:sz w:val="26"/>
          <w:szCs w:val="26"/>
          <w:lang w:val="en-US" w:eastAsia="zh-CN" w:bidi="ar"/>
        </w:rPr>
        <w:t>性能参数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rPr>
              <w:t>型号</w:t>
            </w:r>
          </w:p>
        </w:tc>
        <w:tc>
          <w:tcPr>
            <w:tcW w:w="4261" w:type="dxa"/>
            <w:vAlign w:val="center"/>
          </w:tcPr>
          <w:p>
            <w:pPr>
              <w:pageBreakBefore w:val="0"/>
              <w:kinsoku/>
              <w:wordWrap/>
              <w:overflowPunct/>
              <w:topLinePunct w:val="0"/>
              <w:autoSpaceDE/>
              <w:autoSpaceDN/>
              <w:bidi w:val="0"/>
              <w:adjustRightInd/>
              <w:snapToGrid/>
              <w:spacing w:line="240" w:lineRule="auto"/>
              <w:jc w:val="both"/>
              <w:rPr>
                <w:rFonts w:hint="default"/>
                <w:vertAlign w:val="baseline"/>
                <w:lang w:val="en-US" w:eastAsia="zh-CN"/>
              </w:rPr>
            </w:pPr>
            <w:r>
              <w:rPr>
                <w:rFonts w:hint="eastAsia" w:ascii="Calibri" w:hAnsi="Times New Roman" w:eastAsia="宋体" w:cs="Times New Roman"/>
                <w:sz w:val="24"/>
                <w:szCs w:val="24"/>
                <w:lang w:val="en-US" w:eastAsia="zh-CN"/>
              </w:rPr>
              <w:t>TH-31AN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eastAsia" w:ascii="Calibri" w:hAnsi="Times New Roman" w:eastAsia="宋体" w:cs="Times New Roman"/>
                <w:sz w:val="24"/>
                <w:szCs w:val="24"/>
                <w:lang w:val="en-US" w:eastAsia="zh-CN"/>
              </w:rPr>
              <w:t>COM接口</w:t>
            </w:r>
          </w:p>
        </w:tc>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eastAsia" w:ascii="Calibri" w:hAnsi="Times New Roman" w:eastAsia="宋体" w:cs="Times New Roman"/>
                <w:sz w:val="24"/>
                <w:szCs w:val="24"/>
                <w:lang w:val="en-US" w:eastAsia="zh-CN"/>
              </w:rPr>
              <w:t>两个COM口，接上级设备以及级联其他分机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eastAsia="zh-CN"/>
              </w:rPr>
              <w:t>工作温度</w:t>
            </w:r>
          </w:p>
        </w:tc>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val="en-US" w:eastAsia="zh-CN"/>
              </w:rPr>
              <w:t>-10℃~+</w:t>
            </w:r>
            <w:r>
              <w:rPr>
                <w:rFonts w:hint="eastAsia" w:ascii="Calibri" w:eastAsia="宋体" w:cs="Times New Roman"/>
                <w:sz w:val="24"/>
                <w:szCs w:val="24"/>
                <w:lang w:val="en-US" w:eastAsia="zh-CN"/>
              </w:rPr>
              <w:t>4</w:t>
            </w:r>
            <w:r>
              <w:rPr>
                <w:rFonts w:hint="default" w:ascii="Calibri" w:hAnsi="Times New Roman" w:eastAsia="宋体" w:cs="Times New Roman"/>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eastAsia="zh-CN"/>
              </w:rPr>
              <w:t>工作湿度</w:t>
            </w:r>
          </w:p>
        </w:tc>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val="en-US" w:eastAsia="zh-CN"/>
              </w:rPr>
              <w:t>20%～80%相对湿度，无结露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eastAsia="zh-CN"/>
              </w:rPr>
              <w:t>整机功耗</w:t>
            </w:r>
          </w:p>
        </w:tc>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val="en-US" w:eastAsia="zh-CN"/>
              </w:rPr>
              <w:t>≤</w:t>
            </w:r>
            <w:r>
              <w:rPr>
                <w:rFonts w:hint="eastAsia" w:ascii="Calibri" w:hAnsi="Times New Roman" w:eastAsia="宋体" w:cs="Times New Roman"/>
                <w:sz w:val="24"/>
                <w:szCs w:val="24"/>
                <w:lang w:val="en-US" w:eastAsia="zh-CN"/>
              </w:rPr>
              <w:t>5</w:t>
            </w:r>
            <w:r>
              <w:rPr>
                <w:rFonts w:hint="default" w:ascii="Calibri" w:hAnsi="Times New Roman" w:eastAsia="宋体" w:cs="Times New Roman"/>
                <w:sz w:val="24"/>
                <w:szCs w:val="24"/>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default" w:ascii="Calibri" w:hAnsi="Times New Roman" w:eastAsia="宋体" w:cs="Times New Roman"/>
                <w:sz w:val="24"/>
                <w:szCs w:val="24"/>
                <w:lang w:eastAsia="zh-CN"/>
              </w:rPr>
              <w:t>电源</w:t>
            </w:r>
          </w:p>
        </w:tc>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eastAsia"/>
                <w:vertAlign w:val="baseline"/>
                <w:lang w:eastAsia="zh-CN"/>
              </w:rPr>
            </w:pPr>
            <w:r>
              <w:rPr>
                <w:rFonts w:hint="eastAsia" w:ascii="Calibri" w:hAnsi="Times New Roman" w:eastAsia="宋体" w:cs="Times New Roman"/>
                <w:sz w:val="24"/>
                <w:szCs w:val="24"/>
                <w:lang w:val="en-US" w:eastAsia="zh-CN"/>
              </w:rPr>
              <w:t>由上级设备提供供电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default"/>
                <w:vertAlign w:val="baseline"/>
                <w:lang w:val="en-US" w:eastAsia="zh-CN"/>
              </w:rPr>
            </w:pPr>
            <w:r>
              <w:rPr>
                <w:rFonts w:hint="eastAsia" w:ascii="Calibri" w:hAnsi="Times New Roman" w:eastAsia="宋体" w:cs="Times New Roman"/>
                <w:sz w:val="24"/>
                <w:szCs w:val="24"/>
                <w:lang w:val="en-US" w:eastAsia="zh-CN"/>
              </w:rPr>
              <w:t>安装方式</w:t>
            </w:r>
          </w:p>
        </w:tc>
        <w:tc>
          <w:tcPr>
            <w:tcW w:w="4261" w:type="dxa"/>
            <w:vAlign w:val="center"/>
          </w:tcPr>
          <w:p>
            <w:pPr>
              <w:pageBreakBefore w:val="0"/>
              <w:kinsoku/>
              <w:wordWrap/>
              <w:overflowPunct/>
              <w:topLinePunct w:val="0"/>
              <w:autoSpaceDE/>
              <w:autoSpaceDN/>
              <w:bidi w:val="0"/>
              <w:adjustRightInd/>
              <w:snapToGrid/>
              <w:spacing w:line="240" w:lineRule="auto"/>
              <w:ind w:left="0" w:leftChars="0" w:firstLine="0" w:firstLineChars="0"/>
              <w:jc w:val="both"/>
              <w:rPr>
                <w:rFonts w:hint="default"/>
                <w:vertAlign w:val="baseline"/>
                <w:lang w:val="en-US" w:eastAsia="zh-CN"/>
              </w:rPr>
            </w:pPr>
            <w:r>
              <w:rPr>
                <w:rFonts w:hint="eastAsia"/>
                <w:vertAlign w:val="baseline"/>
                <w:lang w:val="en-US" w:eastAsia="zh-CN"/>
              </w:rPr>
              <w:t>嵌入式</w:t>
            </w:r>
          </w:p>
        </w:tc>
      </w:tr>
    </w:tbl>
    <w:p>
      <w:pPr>
        <w:pStyle w:val="3"/>
        <w:ind w:left="0" w:leftChars="0" w:firstLine="0" w:firstLineChars="0"/>
        <w:rPr>
          <w:rFonts w:ascii="新宋体" w:hAnsi="新宋体" w:eastAsia="新宋体" w:cs="新宋体"/>
          <w:color w:val="000000"/>
          <w:kern w:val="0"/>
          <w:sz w:val="26"/>
          <w:szCs w:val="26"/>
          <w:lang w:val="en-US" w:eastAsia="zh-CN" w:bidi="ar"/>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3206F"/>
    <w:multiLevelType w:val="singleLevel"/>
    <w:tmpl w:val="2633206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jN2NiNDlmMDk1YmY3YWQ1MjgyMjViNDJmYmZhMjMifQ=="/>
  </w:docVars>
  <w:rsids>
    <w:rsidRoot w:val="00000000"/>
    <w:rsid w:val="46744B7C"/>
    <w:rsid w:val="7C90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widowControl/>
      <w:spacing w:line="360" w:lineRule="auto"/>
      <w:ind w:firstLine="454"/>
      <w:jc w:val="left"/>
    </w:pPr>
    <w:rPr>
      <w:kern w:val="0"/>
      <w:szCs w:val="20"/>
    </w:rPr>
  </w:style>
  <w:style w:type="paragraph" w:styleId="3">
    <w:name w:val="Body Text First Indent"/>
    <w:basedOn w:val="2"/>
    <w:qFormat/>
    <w:uiPriority w:val="0"/>
    <w:pPr>
      <w:widowControl w:val="0"/>
      <w:spacing w:after="120" w:line="240" w:lineRule="auto"/>
      <w:ind w:firstLine="420" w:firstLineChars="100"/>
      <w:jc w:val="both"/>
    </w:pPr>
    <w:rPr>
      <w:rFonts w:ascii="Times New Roman" w:hAnsi="Times New Roman"/>
      <w:kern w:val="2"/>
      <w:sz w:val="21"/>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250</Words>
  <Characters>283</Characters>
  <Lines>0</Lines>
  <Paragraphs>0</Paragraphs>
  <TotalTime>7</TotalTime>
  <ScaleCrop>false</ScaleCrop>
  <LinksUpToDate>false</LinksUpToDate>
  <CharactersWithSpaces>286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2022-12-05T06:17:30Z</dcterms:created>
  <dc:creator>fanzw</dc:creator>
  <cp:lastModifiedBy>展文</cp:lastModifiedBy>
  <dcterms:modified xsi:type="dcterms:W3CDTF">2022-12-05T06:42:47Z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40B1E7741B7E4DECAE9FB43AEDB89721</vt:lpwstr>
  </property>
</Properties>
</file>