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地质参数一致性测试报告</w:t>
      </w:r>
    </w:p>
    <w:p>
      <w:pPr>
        <w:pStyle w:val="Heading1"/>
      </w:pPr>
      <w:r>
        <w:t>1. 孔隙度测试 (一致)</w:t>
      </w:r>
    </w:p>
    <w:p>
      <w:r>
        <w:t>根据实验室测定，该岩心的孔隙度为：15.5%。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参数名称</w:t>
            </w:r>
          </w:p>
        </w:tc>
        <w:tc>
          <w:tcPr>
            <w:tcW w:type="dxa" w:w="4320"/>
          </w:tcPr>
          <w:p>
            <w:r>
              <w:t>测定值</w:t>
            </w:r>
          </w:p>
        </w:tc>
      </w:tr>
      <w:tr>
        <w:tc>
          <w:tcPr>
            <w:tcW w:type="dxa" w:w="4320"/>
          </w:tcPr>
          <w:p>
            <w:r>
              <w:t>孔隙度</w:t>
            </w:r>
          </w:p>
        </w:tc>
        <w:tc>
          <w:tcPr>
            <w:tcW w:type="dxa" w:w="4320"/>
          </w:tcPr>
          <w:p>
            <w:r>
              <w:t>15.5%</w:t>
            </w:r>
          </w:p>
        </w:tc>
      </w:tr>
    </w:tbl>
    <w:p>
      <w:r>
        <w:br/>
      </w:r>
    </w:p>
    <w:p>
      <w:pPr>
        <w:pStyle w:val="Heading1"/>
      </w:pPr>
      <w:r>
        <w:t>2. 渗透率测试 (不一致)</w:t>
      </w:r>
    </w:p>
    <w:p>
      <w:r>
        <w:t>报告正文中记录的渗透率为：25.0mD。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参数名称</w:t>
            </w:r>
          </w:p>
        </w:tc>
        <w:tc>
          <w:tcPr>
            <w:tcW w:type="dxa" w:w="4320"/>
          </w:tcPr>
          <w:p>
            <w:r>
              <w:t>测定值</w:t>
            </w:r>
          </w:p>
        </w:tc>
      </w:tr>
      <w:tr>
        <w:tc>
          <w:tcPr>
            <w:tcW w:type="dxa" w:w="4320"/>
          </w:tcPr>
          <w:p>
            <w:r>
              <w:t>渗透率</w:t>
            </w:r>
          </w:p>
        </w:tc>
        <w:tc>
          <w:tcPr>
            <w:tcW w:type="dxa" w:w="4320"/>
          </w:tcPr>
          <w:p>
            <w:r>
              <w:t>20.0mD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