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jc w:val="center"/>
      </w:pPr>
      <w:r>
        <w:rPr>
          <w:rFonts w:ascii="Microsoft YaHei" w:hAnsi="Microsoft YaHei" w:eastAsia="Microsoft YaHei"/>
          <w:b/>
          <w:color w:val="275B82"/>
          <w:sz w:val="18"/>
        </w:rPr>
        <w:t>TECHNICAL REFERENCE GUIDE</w:t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/>
          <w:color w:val="1F374B"/>
          <w:sz w:val="50"/>
        </w:rPr>
        <w:t>GradCell 实验总览与记录规范</w:t>
      </w:r>
    </w:p>
    <w:p>
      <w:pPr>
        <w:jc w:val="center"/>
      </w:pPr>
      <w:r>
        <w:rPr>
          <w:rFonts w:ascii="Microsoft YaHei" w:hAnsi="Microsoft YaHei" w:eastAsia="Microsoft YaHei"/>
          <w:color w:val="5A626A"/>
          <w:sz w:val="24"/>
        </w:rPr>
        <w:t>从数值正确性、梯度传递到监督学习与目标条件化优化</w:t>
      </w:r>
    </w:p>
    <w:p>
      <w:pPr>
        <w:spacing w:before="360" w:after="480"/>
        <w:jc w:val="center"/>
      </w:pPr>
      <w:r>
        <w:rPr>
          <w:rFonts w:ascii="Microsoft YaHei" w:hAnsi="Microsoft YaHei" w:eastAsia="Microsoft YaHei"/>
          <w:color w:val="275B82"/>
          <w:sz w:val="18"/>
        </w:rPr>
        <w:t>版本 2026-08-28  |  Chen2020 SPMe / IDAKLU / PyTorch</w:t>
      </w:r>
    </w:p>
    <w:p>
      <w:pPr>
        <w:spacing w:before="160" w:after="240"/>
        <w:ind w:left="504" w:right="504"/>
        <w:shd w:fill="EAF1F6"/>
      </w:pPr>
      <w:r>
        <w:rPr>
          <w:rFonts w:ascii="Microsoft YaHei" w:hAnsi="Microsoft YaHei" w:eastAsia="Microsoft YaHei"/>
          <w:b/>
          <w:color w:val="1F374B"/>
          <w:sz w:val="20"/>
        </w:rPr>
        <w:t>使用原则：先验证求解与梯度，再验证可学习性；每次实验必须留下配置、环境、过程事件、最终摘要和 artifact 路径。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152" w:bottom="1037" w:left="1152" w:header="432" w:footer="432" w:gutter="0"/>
          <w:cols w:space="720"/>
          <w:docGrid w:linePitch="360"/>
        </w:sectPr>
      </w:pPr>
    </w:p>
    <w:p>
      <w:pPr>
        <w:pStyle w:val="Heading1"/>
      </w:pPr>
      <w:r>
        <w:t>1. 实验目标与证据链</w:t>
      </w:r>
    </w:p>
    <w:p>
      <w:r>
        <w:rPr>
          <w:rFonts w:ascii="Microsoft YaHei" w:hAnsi="Microsoft YaHei" w:eastAsia="Microsoft YaHei"/>
          <w:sz w:val="19"/>
        </w:rPr>
        <w:t>GradCell 当前实验不是单一训练任务，而是一条逐层收敛的证据链：先确认电池模型可以稳定求解，再确认 IDAKLU sensitivity 和 PyTorch 自定义反向传播一致，随后验证梯度能够穿过可行设计解码器和性能指标，最后才讨论监督代理模型与目标条件化 GradCell 的可学习性。</w:t>
      </w:r>
    </w:p>
    <w:p>
      <w:r>
        <w:rPr>
          <w:rFonts w:ascii="Microsoft YaHei" w:hAnsi="Microsoft YaHei" w:eastAsia="Microsoft YaHei"/>
          <w:sz w:val="19"/>
        </w:rPr>
        <w:t>推荐顺序如下：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软件与可行性测试：单元测试、decoder 硬约束测试、toy backend 测试。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Chen2020 基准：检查 SPMe 在典型 1C/3C 工况下的电压范围、状态和耗时。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物理梯度 QA：比较 IDAKLU sensitivity、有限差分和自定义 VJP。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端到端梯度 QA：覆盖 latent、decoder、1C/3C 仿真、soft metric 与 scalar loss。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监督可学习性：随机设计仿真、固定数据划分、MLP 拟合和测试集指标。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GradCell MVP：K=0、K=1、K=3 逐步训练，观察验证损失、solver failure 与更新收益。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高保真复核：用 DFN 对关键设计和梯度方向做统一复核。</w:t>
      </w:r>
    </w:p>
    <w:p>
      <w:pPr>
        <w:pStyle w:val="Heading1"/>
      </w:pPr>
      <w:r>
        <w:t>2. 实验清单</w:t>
      </w:r>
    </w:p>
    <w:p>
      <w:pPr>
        <w:pStyle w:val="Heading2"/>
      </w:pPr>
      <w:r>
        <w:t>E0：代码与可行设计测试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入口：`pytest`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目的：验证 decoder 硬可行性、自定义 autograd VJP 和 GradCell 基础前反向传播。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主要判据：测试全部通过；随机设计满足孔隙率、非活性相和 N/P 约束。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限制：只证明软件行为，不证明 Chen2020 科学结论。</w:t>
      </w:r>
    </w:p>
    <w:p>
      <w:pPr>
        <w:pStyle w:val="Heading2"/>
      </w:pPr>
      <w:r>
        <w:t>E1：Chen2020 基准放电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入口：`scripts/run_baseline.py`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目的：确认 nominal Chen2020 SPMe 在指定 C-rate 下可求解。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输入：C-rate；当前 nominal 输入向量；固定仿真时间域。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输出：solver status、求解耗时、最低/最高电压。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建议运行：0.5C、1C、2C、3C。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判据：status=1、轨迹有限、电压范围合理、重复运行结果稳定。</w:t>
      </w:r>
    </w:p>
    <w:p>
      <w:pPr>
        <w:pStyle w:val="Heading2"/>
      </w:pPr>
      <w:r>
        <w:t>E2：物理层梯度验证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入口：`scripts/validate_gradients.py`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目的：隔离验证 physics input 到 trajectory/objective 的梯度。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方法：比较 autograd 方向导数和中心有限差分。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建议：先 toy，再 PyBaMM；对 `eps=1e-3, 3e-4, 1e-4, 3e-5` 做 sweep。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判据：误差随 eps 出现稳定平台，不能只依据一个 eps 或一个方向。</w:t>
      </w:r>
    </w:p>
    <w:p>
      <w:pPr>
        <w:pStyle w:val="Heading2"/>
      </w:pPr>
      <w:r>
        <w:t>E3：多工况物理 QA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入口：`scripts/qa_physics.py`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目的：在 0.5C/1C/2C/3C 和扩散率扰动设计上验证 forward、sensitivity、autograd。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特点：逐 case 写入 JSONL，支持断点续跑。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推荐：先 SPMe，再 DFN；先 `--mode forward`，再 `--mode all`。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输出：metadata、case_results、summary 和 run log。</w:t>
      </w:r>
    </w:p>
    <w:p>
      <w:pPr>
        <w:pStyle w:val="Heading2"/>
      </w:pPr>
      <w:r>
        <w:t>E4：端到端梯度传递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入口：`scripts/validate_end_to_end_gradients.py`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目的：验证 `latent -&gt; decoder -&gt; physics -&gt; metrics -&gt; objective` 完整链路。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设计：多个随机点、每点多个随机方向、有限差分步长 sweep。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输出：每个点和方向的 autodiff、finite difference、绝对/相对误差。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判据：报告 median 与 max error，并检查异常是否集中于 solver failure 或近零梯度方向。</w:t>
      </w:r>
    </w:p>
    <w:p>
      <w:pPr>
        <w:pStyle w:val="Heading2"/>
      </w:pPr>
      <w:r>
        <w:t>E5：Chen2020 监督数据生成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入口：`scripts/generate_supervised_data.py`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目的：从随机 latent 生成硬可行设计，并以 Chen2020 SPMe 产生监督标签。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标签：1C 比能量、3C 比功率、1C/3C 平滑最低电压。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输出：NPZ 数据集、同名 metadata JSON、批次事件记录和周期快照。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判据：有效样本数、失败率、目标分布、设计空间覆盖率和单位样本耗时。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建议规模：20 个冒烟样本；2,000 个初步实验；10,000 个以上正式实验。</w:t>
      </w:r>
    </w:p>
    <w:p>
      <w:pPr>
        <w:pStyle w:val="Heading2"/>
      </w:pPr>
      <w:r>
        <w:t>E6：监督代理模型可学习性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入口：`scripts/train_supervised_surrogate.py`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目的：判断当前设计分布到 Chen2020 标签的映射能否由普通 MLP 学习。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划分：70% train、15% validation、15% test；归一化只使用训练集统计量。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输出：逐 epoch 训练/验证损失、最佳模型、测试 MAE/RMSE/R2。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判据：测试集各目标 R2、误差尺度、训练和验证曲线是否一致。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解释边界：该实验不等价于真实电芯数据泛化，也不直接证明逆向设计可学习。</w:t>
      </w:r>
    </w:p>
    <w:p>
      <w:pPr>
        <w:pStyle w:val="Heading2"/>
      </w:pPr>
      <w:r>
        <w:t>E7：GradCell MVP 训练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入口：`scripts/train_mvp.py`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目的：训练 preference 到可行设计的 initializer，以及 K 步 learned refiner。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课程顺序：K=0 → K=1 → K=3。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输出：逐 step train/validation loss、checkpoint、最佳验证步和 early stopping 状态。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判据：验证损失改善、不同 preference 的覆盖、solver failure 率、K 步更新是否单调改善。</w:t>
      </w:r>
    </w:p>
    <w:p>
      <w:pPr>
        <w:pStyle w:val="Heading1"/>
      </w:pPr>
      <w:r>
        <w:t>3. 统一实验记录目录</w:t>
      </w:r>
    </w:p>
    <w:p>
      <w:r>
        <w:rPr>
          <w:rFonts w:ascii="Microsoft YaHei" w:hAnsi="Microsoft YaHei" w:eastAsia="Microsoft YaHei"/>
          <w:sz w:val="19"/>
        </w:rPr>
        <w:t>除 `qa_physics.py` 已有专用可恢复目录外，主要脚本现在默认在 `results/runs/` 下创建：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results/runs/&lt;时间&gt;_&lt;实验名&gt;_&lt;短ID&gt;/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├── metadata.json       # 参数、命令、环境、Git commit、开始/结束状态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├── events.jsonl        # append-only 过程事件，可用于画曲线和定位中断点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├── run.log             # 便于人工阅读的时间戳日志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├── summary.json        # 最终指标、状态和 artifact 路径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└── 其他实验专用记录    # 如 training_steps.jsonl</w:t>
      </w:r>
    </w:p>
    <w:p>
      <w:r>
        <w:rPr>
          <w:rFonts w:ascii="Microsoft YaHei" w:hAnsi="Microsoft YaHei" w:eastAsia="Microsoft YaHei"/>
          <w:sz w:val="19"/>
        </w:rPr>
        <w:t>`metadata.json` 的 status 初始为 `running`，正常结束更新为 `completed`，异常结束更新为 `failed`，并记录异常类型和 traceback。服务器任务被强制终止时 status 可能保留为 `running`，此时以 `events.jsonl` 最后一条记录判断进度。</w:t>
      </w:r>
    </w:p>
    <w:p>
      <w:pPr>
        <w:pStyle w:val="Heading1"/>
      </w:pPr>
      <w:r>
        <w:t>4. 服务器标准运行流程</w:t>
      </w:r>
    </w:p>
    <w:p>
      <w:pPr>
        <w:pStyle w:val="Heading2"/>
      </w:pPr>
      <w:r>
        <w:t>4.1 每次运行前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确认工作树状态和 commit：`git status`、`git rev-parse HEAD`。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激活固定环境并记录版本。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为正式任务显式指定 seed、输出路径和 run-dir。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先用 toy 或小样本冒烟测试，再扩大规模。</w:t>
      </w:r>
    </w:p>
    <w:p>
      <w:pPr>
        <w:pStyle w:val="Heading2"/>
      </w:pPr>
      <w:r>
        <w:t>4.2 示例命令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python scripts/run_baseline.py --c-rate 1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--output results/baseline_1c.json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--run-dir results/runs/baseline_1c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python scripts/validate_end_to_end_gradients.py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--backend pybamm --samples 3 --directions 3 --eps 1e-4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--output results/gradient_chain_1e-4.json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--run-dir results/runs/gradient_chain_1e-4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nohup python scripts/generate_supervised_data.py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--backend pybamm --samples 10000 --batch-size 4 --seed 7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--snapshot-every 100 --output data/chen2020_seed7.npz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--run-dir results/runs/data_seed7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&gt; results/data_seed7.nohup.log 2&gt;&amp;1 &amp;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python scripts/train_supervised_surrogate.py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--data data/chen2020_seed7.npz --seed 7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--output-dir results/supervised_seed7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--run-dir results/runs/supervised_seed7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>python scripts/train_mvp.py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--backend pybamm --steps 5000 --batch-size 2 --refinement-steps 0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--checkpoint results/checkpoints/mvp_k0_seed7.pt \</w:t>
      </w:r>
    </w:p>
    <w:p>
      <w:pPr>
        <w:spacing w:after="0"/>
        <w:ind w:left="259" w:right="115"/>
        <w:shd w:fill="F3F5F7"/>
      </w:pPr>
      <w:r>
        <w:rPr>
          <w:rFonts w:ascii="Consolas" w:hAnsi="Consolas" w:eastAsia="Consolas"/>
          <w:color w:val="1F374B"/>
          <w:sz w:val="15"/>
        </w:rPr>
        <w:t xml:space="preserve">  --run-dir results/runs/mvp_k0_seed7</w:t>
      </w:r>
    </w:p>
    <w:p>
      <w:pPr>
        <w:pStyle w:val="Heading2"/>
      </w:pPr>
      <w:r>
        <w:t>4.3 每次运行后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检查 `metadata.json` 是否为 completed。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查看 `summary.json` 的主要指标和 artifact 路径。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检查 `events.jsonl` 是否有失败、early stopping 或异常耗时。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将输出与 Git commit、seed、backend、solver tolerance 一起归档。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不覆盖不同 seed、不同 K 或不同 eps 的结果目录。</w:t>
      </w:r>
    </w:p>
    <w:p>
      <w:pPr>
        <w:pStyle w:val="Heading1"/>
      </w:pPr>
      <w:r>
        <w:t>5. 分析与比较模板</w:t>
      </w:r>
    </w:p>
    <w:p>
      <w:r>
        <w:rPr>
          <w:rFonts w:ascii="Microsoft YaHei" w:hAnsi="Microsoft YaHei" w:eastAsia="Microsoft YaHei"/>
          <w:sz w:val="19"/>
        </w:rPr>
        <w:t>正式分析至少回答以下问题：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可重复性：相同配置重复运行的均值和波动是多少？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数值稳定性：梯度误差是否对 eps、rtol、atol 和设计点敏感？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求解可靠性：失败率是否随 C-rate、设计区域或模型 fidelity 增加？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数据覆盖：训练/验证/测试是否覆盖相似但独立的设计分布？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可学习性：测试 R2 和物理单位误差是否同时可接受？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优化收益：K=1/K=3 相比 K=0 的收益是否超过额外 solver calls？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外推风险：结论是否仅限 Chen2020 SPMe 和当前设计边界？</w:t>
      </w:r>
    </w:p>
    <w:p>
      <w:r>
        <w:rPr>
          <w:rFonts w:ascii="Microsoft YaHei" w:hAnsi="Microsoft YaHei" w:eastAsia="Microsoft YaHei"/>
          <w:sz w:val="19"/>
        </w:rPr>
        <w:t>建议最终汇总表包含：run_id、commit、seed、backend/model、样本数、成功率、耗时、主要误差或 loss、artifact 路径和结论备注。</w:t>
      </w:r>
    </w:p>
    <w:p>
      <w:pPr>
        <w:pStyle w:val="Heading1"/>
      </w:pPr>
      <w:r>
        <w:t>6. 当前结论边界</w:t>
      </w:r>
    </w:p>
    <w:p>
      <w:r>
        <w:rPr>
          <w:rFonts w:ascii="Microsoft YaHei" w:hAnsi="Microsoft YaHei" w:eastAsia="Microsoft YaHei"/>
          <w:sz w:val="19"/>
        </w:rPr>
        <w:t>当前代码能用于验证可微 SPMe 训练链、监督标签可学习性和目标条件化设计原型。SPMe 不是 ground truth；DFN 只能称为更高模型保真度复核；真实材料发现或真实电芯性能结论仍需要独立实验数据。质量模型仍是 stack-level proxy，ideal/nadir 和 reference front 也需要后续以严格训练 split 和高预算基线标定。</w:t>
      </w:r>
    </w:p>
    <w:sectPr w:rsidR="00FC693F" w:rsidRPr="0006063C" w:rsidSect="00034616">
      <w:pgSz w:w="12240" w:h="15840"/>
      <w:pgMar w:top="1037" w:right="1152" w:bottom="1037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626A"/>
        <w:sz w:val="16"/>
      </w:rPr>
      <w:t xml:space="preserve">GradCell 实验记录规范  · 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A626A"/>
        <w:sz w:val="16"/>
      </w:rPr>
      <w:t>GradCell  |  Experiment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7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5B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7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GradCell 实验总览与记录规范</dc:title>
  <dc:subject>GradCell experiment workflow and record-keeping guide</dc:subject>
  <dc:creator>GradCell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