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英语水平：雅思</w:t>
      </w:r>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曾雅嫦</w:t>
      </w:r>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6FDDEB86"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r w:rsidR="0069549C" w:rsidRPr="00716BDE">
        <w:rPr>
          <w:rFonts w:ascii="Times New Roman" w:hAnsi="Times New Roman" w:cs="Times New Roman"/>
          <w:sz w:val="21"/>
        </w:rPr>
        <w:t xml:space="preserve">Zhihong Huang, </w:t>
      </w:r>
      <w:r w:rsidRPr="00716BDE">
        <w:rPr>
          <w:rFonts w:ascii="Times New Roman" w:hAnsi="Times New Roman" w:cs="Times New Roman"/>
          <w:sz w:val="21"/>
        </w:rPr>
        <w:t>Caiping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7B98E13D"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A05F66">
        <w:rPr>
          <w:rFonts w:ascii="Times New Roman" w:hAnsi="Times New Roman" w:cs="Times New Roman" w:hint="eastAsia"/>
          <w:sz w:val="21"/>
        </w:rPr>
        <w:t>“</w:t>
      </w:r>
      <w:r w:rsidR="00584050" w:rsidRPr="00584050">
        <w:rPr>
          <w:rFonts w:ascii="Times New Roman" w:hAnsi="Times New Roman" w:cs="Times New Roman" w:hint="eastAsia"/>
          <w:sz w:val="21"/>
        </w:rPr>
        <w:t>内卷式</w:t>
      </w:r>
      <w:r w:rsidR="00A05F66">
        <w:rPr>
          <w:rFonts w:ascii="Times New Roman" w:hAnsi="Times New Roman" w:cs="Times New Roman" w:hint="eastAsia"/>
          <w:sz w:val="21"/>
        </w:rPr>
        <w:t>”</w:t>
      </w:r>
      <w:r w:rsidR="00584050" w:rsidRPr="00584050">
        <w:rPr>
          <w:rFonts w:ascii="Times New Roman" w:hAnsi="Times New Roman" w:cs="Times New Roman" w:hint="eastAsia"/>
          <w:sz w:val="21"/>
        </w:rPr>
        <w:t>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r w:rsidRPr="00C25D99">
        <w:rPr>
          <w:rFonts w:ascii="Times New Roman" w:hAnsi="Times New Roman" w:cs="Times New Roman"/>
          <w:spacing w:val="-4"/>
          <w:sz w:val="21"/>
        </w:rPr>
        <w:t>年学术年会暨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35C7" w14:textId="77777777" w:rsidR="008D6D5D" w:rsidRDefault="008D6D5D" w:rsidP="00A34E74">
      <w:pPr>
        <w:rPr>
          <w:rFonts w:hint="eastAsia"/>
        </w:rPr>
      </w:pPr>
      <w:r>
        <w:separator/>
      </w:r>
    </w:p>
  </w:endnote>
  <w:endnote w:type="continuationSeparator" w:id="0">
    <w:p w14:paraId="237F635B" w14:textId="77777777" w:rsidR="008D6D5D" w:rsidRDefault="008D6D5D"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A305" w14:textId="77777777" w:rsidR="008D6D5D" w:rsidRDefault="008D6D5D" w:rsidP="00A34E74">
      <w:pPr>
        <w:rPr>
          <w:rFonts w:hint="eastAsia"/>
        </w:rPr>
      </w:pPr>
      <w:r>
        <w:separator/>
      </w:r>
    </w:p>
  </w:footnote>
  <w:footnote w:type="continuationSeparator" w:id="0">
    <w:p w14:paraId="23754A4F" w14:textId="77777777" w:rsidR="008D6D5D" w:rsidRDefault="008D6D5D"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4E7CD4"/>
    <w:rsid w:val="005155BA"/>
    <w:rsid w:val="0051687E"/>
    <w:rsid w:val="00517479"/>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F335B"/>
    <w:rsid w:val="008035B6"/>
    <w:rsid w:val="00820FBE"/>
    <w:rsid w:val="00843B65"/>
    <w:rsid w:val="00864C8C"/>
    <w:rsid w:val="00870CD7"/>
    <w:rsid w:val="00873852"/>
    <w:rsid w:val="008748EA"/>
    <w:rsid w:val="00884F04"/>
    <w:rsid w:val="008865CF"/>
    <w:rsid w:val="008D6D5D"/>
    <w:rsid w:val="008F06B5"/>
    <w:rsid w:val="008F5A20"/>
    <w:rsid w:val="008F63D6"/>
    <w:rsid w:val="00904825"/>
    <w:rsid w:val="009406C6"/>
    <w:rsid w:val="00947919"/>
    <w:rsid w:val="009508D5"/>
    <w:rsid w:val="00950A11"/>
    <w:rsid w:val="00976FFC"/>
    <w:rsid w:val="009900F1"/>
    <w:rsid w:val="009906B3"/>
    <w:rsid w:val="009A248C"/>
    <w:rsid w:val="009B67EC"/>
    <w:rsid w:val="009C0ABD"/>
    <w:rsid w:val="009C1F48"/>
    <w:rsid w:val="009C60EB"/>
    <w:rsid w:val="009D35C8"/>
    <w:rsid w:val="00A05F66"/>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297</Words>
  <Characters>1697</Characters>
  <Application>Microsoft Office Word</Application>
  <DocSecurity>0</DocSecurity>
  <Lines>14</Lines>
  <Paragraphs>3</Paragraphs>
  <ScaleCrop>false</ScaleCrop>
  <Company>中山大学</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8</cp:revision>
  <dcterms:created xsi:type="dcterms:W3CDTF">2025-07-29T04:47:00Z</dcterms:created>
  <dcterms:modified xsi:type="dcterms:W3CDTF">2025-09-08T04:22:00Z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