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智能客服插件技术开发合同</w:t>
      </w:r>
    </w:p>
    <w:p>
      <w:pPr>
        <w:jc w:val="center"/>
      </w:pPr>
      <w:r>
        <w:rPr>
          <w:rFonts w:ascii="微软雅黑" w:hAnsi="微软雅黑" w:eastAsia="微软雅黑"/>
          <w:b w:val="0"/>
          <w:sz w:val="21"/>
        </w:rPr>
        <w:t>合同编号：MNHT-2026-013    合同类别：技术开发</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小橘灯公司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柠檬集市公司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760,000.00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2026年6月29日 至 2028年6月18日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北京</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2026年6月11日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陈一澄 / 0512-6012-1212</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陆知远 / 020-6072-7272</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技术开发，适用于双方围绕“智能问答插件、知识库管理、会话摘要和人工转接接口”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甲方：小橘灯公司。联系地址：苏州市工业园区橘灯巷12号；项目联系人：陈一澄；联系电话：0512-6012-1212；法务邮箱 legal-xiaojudeng@example.test。</w:t>
      </w:r>
    </w:p>
    <w:p>
      <w:pPr>
        <w:spacing w:line="307" w:lineRule="auto" w:after="100"/>
        <w:ind w:firstLine="420"/>
      </w:pPr>
      <w:r>
        <w:rPr>
          <w:rFonts w:ascii="微软雅黑" w:hAnsi="微软雅黑" w:eastAsia="微软雅黑"/>
          <w:b w:val="0"/>
          <w:sz w:val="21"/>
        </w:rPr>
        <w:t>乙方：柠檬集市公司。联系地址：广州市天河区柠檬巷72号；项目联系人：陆知远；联系电话：020-6072-7272；法务邮箱 legal-ningmeng@example.test。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乙方根据甲方要求提供或完成：智能问答插件、知识库管理、会话摘要和人工转接接口。具体型号、数量、服务频次、技术规格、人员安排、实施计划和交付标准，以本合同及附件《项目范围清单》为准。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主要交付物包括：技术方案、接口文档、源代码、部署脚本、测试用例、验收报告。乙方应保证交付物完整、清晰、可核验，并满足甲方在合同目的范围内的合理使用需求。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特别约定：开发成果中的项目定制代码和配置文件归甲方所有，通用工具库权属另按本合同约定处理。本条特别约定优先适用于本合同项下对应业务，如与通用条款不一致，以特别约定为准。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合同履行期限自2026年6月29日起至2028年6月18日止。双方可根据项目进展另行确认阶段计划，阶段计划作为本合同附件，与正文具有同等效力。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履行地点以北京及甲方指定办公、仓储、线上系统或项目现场为主；涉及远程交付的，乙方应通过双方确认的系统、邮箱、网盘或项目管理工具提交。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乙方应在关键节点到期前至少3个工作日向甲方提示待确认事项。因甲方迟延提供资料、场地、账号、审批或验收意见导致工期受影响的，工期可相应顺延，但乙方应及时履行提醒和减损义务。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760,000.00 元（含税，最终以双方确认的结算单为准）。</w:t>
      </w:r>
    </w:p>
    <w:p>
      <w:pPr>
        <w:spacing w:line="307" w:lineRule="auto" w:after="100"/>
        <w:ind w:firstLine="420"/>
      </w:pPr>
      <w:r>
        <w:rPr>
          <w:rFonts w:ascii="微软雅黑" w:hAnsi="微软雅黑" w:eastAsia="微软雅黑"/>
          <w:b w:val="0"/>
          <w:sz w:val="21"/>
        </w:rPr>
        <w:t>付款方式：30%启动款、30%开发里程碑款、25%上线款、15%质保尾款。甲方付款前，乙方应提交合法有效发票、经双方确认的阶段成果、验收单或结算明细。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补充要求：乙方应确保插件具备日志审计、敏感词拦截、权限隔离和异常熔断能力。</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乙方对交付成果提供不少于24个月的质量保证或持续服务支持，具体起算时间为最终验收合格之日。法律法规、行业标准或产品说明要求更长期限的，从其规定或说明。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因本合同产生或与本合同有关的争议，双方应先友好协商；协商不成的，任一方可向北京有管辖权的人民法院提起诉讼。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签署日期：2026年6月11日。签署地点：北京。</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甲方：小橘灯公司</w:t>
            </w:r>
          </w:p>
        </w:tc>
        <w:tc>
          <w:tcPr>
            <w:tcW w:type="dxa" w:w="4816"/>
            <w:shd w:fill="EAF2F8"/>
          </w:tcPr>
          <w:p>
            <w:r/>
            <w:r>
              <w:rPr>
                <w:rFonts w:ascii="微软雅黑" w:hAnsi="微软雅黑" w:eastAsia="微软雅黑"/>
                <w:b/>
                <w:sz w:val="21"/>
              </w:rPr>
              <w:t>乙方：柠檬集市公司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日期：2026年6月11日</w:t>
            </w:r>
          </w:p>
        </w:tc>
        <w:tc>
          <w:tcPr>
            <w:tcW w:type="dxa" w:w="4816"/>
          </w:tcPr>
          <w:p>
            <w:r/>
            <w:r>
              <w:rPr>
                <w:rFonts w:ascii="微软雅黑" w:hAnsi="微软雅黑" w:eastAsia="微软雅黑"/>
                <w:b w:val="0"/>
                <w:sz w:val="21"/>
              </w:rPr>
              <w:t>日期：2026年6月11日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MNHT-2026-013 -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