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园区物业综合服务合同</w:t>
      </w:r>
    </w:p>
    <w:p>
      <w:pPr>
        <w:jc w:val="center"/>
      </w:pPr>
      <w:r>
        <w:rPr>
          <w:rFonts w:ascii="微软雅黑" w:hAnsi="微软雅黑" w:eastAsia="微软雅黑"/>
          <w:b w:val="0"/>
          <w:sz w:val="21"/>
        </w:rPr>
        <w:t>合同编号：MNHT-2026-016    合同类别：物业服务</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冒号工坊公司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月亮口袋公司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640,000.00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2026年2月23日 至 2027年2月18日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深圳</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2026年2月3日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邵今安 / 010-6020-2020</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林半夏 / 028-6010-2016</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物业服务，适用于双方围绕“前台接待、公共区域巡检、会议室管理、设施报修和访客登记”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甲方：冒号工坊公司。联系地址：北京市朝阳区工坊南街20号；项目联系人：邵今安；联系电话：010-6020-2020；法务邮箱 legal-maohao@example.test。</w:t>
      </w:r>
    </w:p>
    <w:p>
      <w:pPr>
        <w:spacing w:line="307" w:lineRule="auto" w:after="100"/>
        <w:ind w:firstLine="420"/>
      </w:pPr>
      <w:r>
        <w:rPr>
          <w:rFonts w:ascii="微软雅黑" w:hAnsi="微软雅黑" w:eastAsia="微软雅黑"/>
          <w:b w:val="0"/>
          <w:sz w:val="21"/>
        </w:rPr>
        <w:t>乙方：月亮口袋公司。联系地址：成都市高新区月袋街6号；项目联系人：林半夏；联系电话：028-6010-2016；法务邮箱 legal-yueliang@example.test。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乙方根据甲方要求提供或完成：前台接待、公共区域巡检、会议室管理、设施报修和访客登记。具体型号、数量、服务频次、技术规格、人员安排、实施计划和交付标准，以本合同及附件《项目范围清单》为准。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主要交付物包括：巡检记录、报修台账、访客台账、月度服务报告、整改闭环记录。乙方应保证交付物完整、清晰、可核验，并满足甲方在合同目的范围内的合理使用需求。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特别约定：乙方应保持服务人员稳定，关键岗位更换前应提前通知甲方。本条特别约定优先适用于本合同项下对应业务，如与通用条款不一致，以特别约定为准。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合同履行期限自2026年2月23日起至2027年2月18日止。双方可根据项目进展另行确认阶段计划，阶段计划作为本合同附件，与正文具有同等效力。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履行地点以深圳及甲方指定办公、仓储、线上系统或项目现场为主；涉及远程交付的，乙方应通过双方确认的系统、邮箱、网盘或项目管理工具提交。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乙方应在关键节点到期前至少10个工作日向甲方提示待确认事项。因甲方迟延提供资料、场地、账号、审批或验收意见导致工期受影响的，工期可相应顺延，但乙方应及时履行提醒和减损义务。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640,000.00 元（含税，最终以双方确认的结算单为准）。</w:t>
      </w:r>
    </w:p>
    <w:p>
      <w:pPr>
        <w:spacing w:line="307" w:lineRule="auto" w:after="100"/>
        <w:ind w:firstLine="420"/>
      </w:pPr>
      <w:r>
        <w:rPr>
          <w:rFonts w:ascii="微软雅黑" w:hAnsi="微软雅黑" w:eastAsia="微软雅黑"/>
          <w:b w:val="0"/>
          <w:sz w:val="21"/>
        </w:rPr>
        <w:t>付款方式：按月支付，年度满意度达到约定指标后支付服务激励。甲方付款前，乙方应提交合法有效发票、经双方确认的阶段成果、验收单或结算明细。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补充要求：突发停电、漏水、消防报警或人员受伤等情况，乙方应立即启动应急预案。</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乙方对交付成果提供不少于12个月的质量保证或持续服务支持，具体起算时间为最终验收合格之日。法律法规、行业标准或产品说明要求更长期限的，从其规定或说明。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乙方逾期交付、逾期整改或逾期提供服务的，每逾期一日，按每日按逾期部分金额的万分之五向甲方支付违约金；违约金不足以弥补甲方损失的，乙方还应赔偿差额。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因本合同产生或与本合同有关的争议，双方应先友好协商；协商不成的，任一方可向深圳有管辖权的人民法院提起诉讼。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签署日期：2026年2月3日。签署地点：深圳。</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甲方：冒号工坊公司</w:t>
            </w:r>
          </w:p>
        </w:tc>
        <w:tc>
          <w:tcPr>
            <w:tcW w:type="dxa" w:w="4816"/>
            <w:shd w:fill="EAF2F8"/>
          </w:tcPr>
          <w:p>
            <w:r/>
            <w:r>
              <w:rPr>
                <w:rFonts w:ascii="微软雅黑" w:hAnsi="微软雅黑" w:eastAsia="微软雅黑"/>
                <w:b/>
                <w:sz w:val="21"/>
              </w:rPr>
              <w:t>乙方：月亮口袋公司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日期：2026年2月3日</w:t>
            </w:r>
          </w:p>
        </w:tc>
        <w:tc>
          <w:tcPr>
            <w:tcW w:type="dxa" w:w="4816"/>
          </w:tcPr>
          <w:p>
            <w:r/>
            <w:r>
              <w:rPr>
                <w:rFonts w:ascii="微软雅黑" w:hAnsi="微软雅黑" w:eastAsia="微软雅黑"/>
                <w:b w:val="0"/>
                <w:sz w:val="21"/>
              </w:rPr>
              <w:t>日期：2026年2月3日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MNHT-2026-016 -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