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员工餐饮供应服务合同</w:t>
      </w:r>
    </w:p>
    <w:p>
      <w:pPr>
        <w:jc w:val="center"/>
      </w:pPr>
      <w:r>
        <w:rPr>
          <w:rFonts w:ascii="微软雅黑" w:hAnsi="微软雅黑" w:eastAsia="微软雅黑"/>
          <w:b w:val="0"/>
          <w:sz w:val="21"/>
        </w:rPr>
        <w:t>合同编号：MNHT-2026-020    合同类别：餐饮供应</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绿泡泡公司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云朵仓公司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295,000.00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2026年3月29日 至 2028年3月18日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厦门</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2026年3月11日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周晓禾 / 021-6001-0818</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孟知秋 / 025-6033-3333</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餐饮供应，适用于双方围绕“工作日午餐、加班餐、茶歇和临时接待餐食”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甲方：绿泡泡公司。联系地址：上海市青浦区泡泡路18号；项目联系人：周晓禾；联系电话：021-6001-0818；法务邮箱 legal-lvpaopao@example.test。</w:t>
      </w:r>
    </w:p>
    <w:p>
      <w:pPr>
        <w:spacing w:line="307" w:lineRule="auto" w:after="100"/>
        <w:ind w:firstLine="420"/>
      </w:pPr>
      <w:r>
        <w:rPr>
          <w:rFonts w:ascii="微软雅黑" w:hAnsi="微软雅黑" w:eastAsia="微软雅黑"/>
          <w:b w:val="0"/>
          <w:sz w:val="21"/>
        </w:rPr>
        <w:t>乙方：云朵仓公司。联系地址：南京市江宁区云仓路33号；项目联系人：孟知秋；联系电话：025-6033-3333；法务邮箱 legal-yunduocang@example.test。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乙方根据甲方要求提供或完成：工作日午餐、加班餐、茶歇和临时接待餐食。具体型号、数量、服务频次、技术规格、人员安排、实施计划和交付标准，以本合同及附件《项目范围清单》为准。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主要交付物包括：菜单、配送记录、留样记录、食品安全证明、月度对账单。乙方应保证交付物完整、清晰、可核验，并满足甲方在合同目的范围内的合理使用需求。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特别约定：乙方应遵守食品安全管理要求，确保食材来源可追溯、运输温度合规。本条特别约定优先适用于本合同项下对应业务，如与通用条款不一致，以特别约定为准。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合同履行期限自2026年3月29日起至2028年3月18日止。双方可根据项目进展另行确认阶段计划，阶段计划作为本合同附件，与正文具有同等效力。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履行地点以厦门及甲方指定办公、仓储、线上系统或项目现场为主；涉及远程交付的，乙方应通过双方确认的系统、邮箱、网盘或项目管理工具提交。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乙方应在关键节点到期前至少3个工作日向甲方提示待确认事项。因甲方迟延提供资料、场地、账号、审批或验收意见导致工期受影响的，工期可相应顺延，但乙方应及时履行提醒和减损义务。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295,000.00 元（含税，最终以双方确认的结算单为准）。</w:t>
      </w:r>
    </w:p>
    <w:p>
      <w:pPr>
        <w:spacing w:line="307" w:lineRule="auto" w:after="100"/>
        <w:ind w:firstLine="420"/>
      </w:pPr>
      <w:r>
        <w:rPr>
          <w:rFonts w:ascii="微软雅黑" w:hAnsi="微软雅黑" w:eastAsia="微软雅黑"/>
          <w:b w:val="0"/>
          <w:sz w:val="21"/>
        </w:rPr>
        <w:t>付款方式：按实际供餐数量月结，甲方确认账单后十个工作日内支付。甲方付款前，乙方应提交合法有效发票、经双方确认的阶段成果、验收单或结算明细。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补充要求：发生疑似食品安全事件时，乙方应立即停止相关批次供应并配合调查。</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乙方对交付成果提供不少于9个月的质量保证或持续服务支持，具体起算时间为最终验收合格之日。法律法规、行业标准或产品说明要求更长期限的，从其规定或说明。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乙方逾期交付、逾期整改或逾期提供服务的，每逾期一日，按每延迟一日支付人民币1000元向甲方支付违约金；违约金不足以弥补甲方损失的，乙方还应赔偿差额。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因本合同产生或与本合同有关的争议，双方应先友好协商；协商不成的，任一方可向厦门有管辖权的人民法院提起诉讼。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签署日期：2026年3月11日。签署地点：厦门。</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甲方：绿泡泡公司</w:t>
            </w:r>
          </w:p>
        </w:tc>
        <w:tc>
          <w:tcPr>
            <w:tcW w:type="dxa" w:w="4816"/>
            <w:shd w:fill="EAF2F8"/>
          </w:tcPr>
          <w:p>
            <w:r/>
            <w:r>
              <w:rPr>
                <w:rFonts w:ascii="微软雅黑" w:hAnsi="微软雅黑" w:eastAsia="微软雅黑"/>
                <w:b/>
                <w:sz w:val="21"/>
              </w:rPr>
              <w:t>乙方：云朵仓公司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日期：2026年3月11日</w:t>
            </w:r>
          </w:p>
        </w:tc>
        <w:tc>
          <w:tcPr>
            <w:tcW w:type="dxa" w:w="4816"/>
          </w:tcPr>
          <w:p>
            <w:r/>
            <w:r>
              <w:rPr>
                <w:rFonts w:ascii="微软雅黑" w:hAnsi="微软雅黑" w:eastAsia="微软雅黑"/>
                <w:b w:val="0"/>
                <w:sz w:val="21"/>
              </w:rPr>
              <w:t>日期：2026年3月11日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MNHT-2026-020 -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