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原材料供应链采购合同</w:t>
      </w:r>
    </w:p>
    <w:p>
      <w:pPr>
        <w:jc w:val="center"/>
      </w:pPr>
      <w:r>
        <w:rPr>
          <w:rFonts w:ascii="微软雅黑" w:hAnsi="微软雅黑" w:eastAsia="微软雅黑"/>
          <w:b w:val="0"/>
          <w:sz w:val="21"/>
        </w:rPr>
        <w:t>合同编号：MNHT-2026-025    合同类别：供应链采购</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半糖星球公司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蓝色便签公司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870,000.00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2026年3月24日 至 2026年9月20日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上海</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2026年3月16日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唐小满 / 0755-6099-9900</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何星白 / 0592-6030-3030</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供应链采购，适用于双方围绕“环保包装纸、可降解内托、封箱胶带和定制标签”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甲方：半糖星球公司。联系地址：深圳市南山区半糖路99号；项目联系人：唐小满；联系电话：0755-6099-9900；法务邮箱 legal-bantang@example.test。</w:t>
      </w:r>
    </w:p>
    <w:p>
      <w:pPr>
        <w:spacing w:line="307" w:lineRule="auto" w:after="100"/>
        <w:ind w:firstLine="420"/>
      </w:pPr>
      <w:r>
        <w:rPr>
          <w:rFonts w:ascii="微软雅黑" w:hAnsi="微软雅黑" w:eastAsia="微软雅黑"/>
          <w:b w:val="0"/>
          <w:sz w:val="21"/>
        </w:rPr>
        <w:t>乙方：蓝色便签公司。联系地址：厦门市思明区便签路30号；项目联系人：何星白；联系电话：0592-6030-3030；法务邮箱 legal-bianqian@example.test。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乙方根据甲方要求提供或完成：环保包装纸、可降解内托、封箱胶带和定制标签。具体型号、数量、服务频次、技术规格、人员安排、实施计划和交付标准，以本合同及附件《项目范围清单》为准。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主要交付物包括：采购订单、批次质检报告、出货单、物流单、环保材料证明。乙方应保证交付物完整、清晰、可核验，并满足甲方在合同目的范围内的合理使用需求。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特别约定：乙方应保持稳定供货能力，关键原材料断供风险应至少提前十五日告知甲方。本条特别约定优先适用于本合同项下对应业务，如与通用条款不一致，以特别约定为准。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合同履行期限自2026年3月24日起至2026年9月20日止。双方可根据项目进展另行确认阶段计划，阶段计划作为本合同附件，与正文具有同等效力。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履行地点以上海及甲方指定办公、仓储、线上系统或项目现场为主；涉及远程交付的，乙方应通过双方确认的系统、邮箱、网盘或项目管理工具提交。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乙方应在关键节点到期前至少3个工作日向甲方提示待确认事项。因甲方迟延提供资料、场地、账号、审批或验收意见导致工期受影响的，工期可相应顺延，但乙方应及时履行提醒和减损义务。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870,000.00 元（含税，最终以双方确认的结算单为准）。</w:t>
      </w:r>
    </w:p>
    <w:p>
      <w:pPr>
        <w:spacing w:line="307" w:lineRule="auto" w:after="100"/>
        <w:ind w:firstLine="420"/>
      </w:pPr>
      <w:r>
        <w:rPr>
          <w:rFonts w:ascii="微软雅黑" w:hAnsi="微软雅黑" w:eastAsia="微软雅黑"/>
          <w:b w:val="0"/>
          <w:sz w:val="21"/>
        </w:rPr>
        <w:t>付款方式：按月对账，合格发票收到后三十日内支付。甲方付款前，乙方应提交合法有效发票、经双方确认的阶段成果、验收单或结算明细。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补充要求：甲方有权对乙方供应商资质、生产批次和质量追溯记录进行合理审查。</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乙方对交付成果提供不少于9个月的质量保证或持续服务支持，具体起算时间为最终验收合格之日。法律法规、行业标准或产品说明要求更长期限的，从其规定或说明。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乙方逾期交付、逾期整改或逾期提供服务的，每逾期一日，按每日按逾期部分金额的万分之五向甲方支付违约金；违约金不足以弥补甲方损失的，乙方还应赔偿差额。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因本合同产生或与本合同有关的争议，双方应先友好协商；协商不成的，任一方可向上海有管辖权的人民法院提起诉讼。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签署日期：2026年3月16日。签署地点：上海。</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甲方：半糖星球公司</w:t>
            </w:r>
          </w:p>
        </w:tc>
        <w:tc>
          <w:tcPr>
            <w:tcW w:type="dxa" w:w="4816"/>
            <w:shd w:fill="EAF2F8"/>
          </w:tcPr>
          <w:p>
            <w:r/>
            <w:r>
              <w:rPr>
                <w:rFonts w:ascii="微软雅黑" w:hAnsi="微软雅黑" w:eastAsia="微软雅黑"/>
                <w:b/>
                <w:sz w:val="21"/>
              </w:rPr>
              <w:t>乙方：蓝色便签公司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日期：2026年3月16日</w:t>
            </w:r>
          </w:p>
        </w:tc>
        <w:tc>
          <w:tcPr>
            <w:tcW w:type="dxa" w:w="4816"/>
          </w:tcPr>
          <w:p>
            <w:r/>
            <w:r>
              <w:rPr>
                <w:rFonts w:ascii="微软雅黑" w:hAnsi="微软雅黑" w:eastAsia="微软雅黑"/>
                <w:b w:val="0"/>
                <w:sz w:val="21"/>
              </w:rPr>
              <w:t>日期：2026年3月16日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MNHT-2026-025 -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